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1B37" w14:textId="77777777" w:rsidR="00453A11" w:rsidRPr="00EF0A98" w:rsidRDefault="0035241B" w:rsidP="00FB00D4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Descripción del producto</w:t>
      </w:r>
    </w:p>
    <w:p w14:paraId="7B58D73B" w14:textId="1DFF49FA" w:rsidR="007E389C" w:rsidRPr="00EF0A98" w:rsidRDefault="00453A11" w:rsidP="00EF0A98">
      <w:pPr>
        <w:rPr>
          <w:rStyle w:val="Strong"/>
        </w:rPr>
      </w:pPr>
      <w:r>
        <w:rPr>
          <w:rStyle w:val="Strong"/>
        </w:rPr>
        <w:t xml:space="preserve">Perfil </w:t>
      </w:r>
      <w:proofErr w:type="spellStart"/>
      <w:r>
        <w:rPr>
          <w:rStyle w:val="Strong"/>
        </w:rPr>
        <w:t>intercalario</w:t>
      </w:r>
      <w:proofErr w:type="spellEnd"/>
      <w:r>
        <w:rPr>
          <w:rStyle w:val="Strong"/>
        </w:rPr>
        <w:t xml:space="preserve"> de borde caliente S</w:t>
      </w:r>
      <w:r w:rsidR="008674CE">
        <w:rPr>
          <w:rStyle w:val="Strong"/>
        </w:rPr>
        <w:t xml:space="preserve">wisspacer </w:t>
      </w:r>
      <w:proofErr w:type="spellStart"/>
      <w:r>
        <w:rPr>
          <w:rStyle w:val="Strong"/>
        </w:rPr>
        <w:t>Advance</w:t>
      </w:r>
      <w:proofErr w:type="spellEnd"/>
    </w:p>
    <w:p w14:paraId="1A45F2DD" w14:textId="6CB2C334" w:rsidR="007E389C" w:rsidRDefault="007E389C" w:rsidP="00891276">
      <w:pPr>
        <w:pStyle w:val="ListBullet"/>
      </w:pPr>
      <w:r>
        <w:t xml:space="preserve">Perfil </w:t>
      </w:r>
      <w:proofErr w:type="spellStart"/>
      <w:r>
        <w:t>intercalario</w:t>
      </w:r>
      <w:proofErr w:type="spellEnd"/>
      <w:r>
        <w:t xml:space="preserve"> de estireno acrilonitrilo con una proporción de fibra de vidrio y lámina de aluminio térmicamente mejorada.</w:t>
      </w:r>
    </w:p>
    <w:p w14:paraId="0882C8A7" w14:textId="77777777" w:rsidR="0035241B" w:rsidRPr="007E389C" w:rsidRDefault="0035241B" w:rsidP="00891276">
      <w:pPr>
        <w:pStyle w:val="ListBullet"/>
        <w:rPr>
          <w:rStyle w:val="Strong"/>
        </w:rPr>
      </w:pPr>
      <w:r>
        <w:t xml:space="preserve">Conductividad térmica equivalente (de conformidad con la </w:t>
      </w:r>
      <w:proofErr w:type="spellStart"/>
      <w:r>
        <w:t>ift-Guideline</w:t>
      </w:r>
      <w:proofErr w:type="spellEnd"/>
      <w:r>
        <w:t xml:space="preserve"> WA-17/1): </w:t>
      </w:r>
      <w:r>
        <w:rPr>
          <w:rStyle w:val="Strong"/>
        </w:rPr>
        <w:t>λ</w:t>
      </w:r>
      <w:r w:rsidR="004F23AF">
        <w:rPr>
          <w:rStyle w:val="Strong"/>
        </w:rPr>
        <w:t> </w:t>
      </w:r>
      <w:r>
        <w:rPr>
          <w:rStyle w:val="Strong"/>
        </w:rPr>
        <w:t>=</w:t>
      </w:r>
      <w:r w:rsidR="004F23AF">
        <w:rPr>
          <w:rStyle w:val="Strong"/>
        </w:rPr>
        <w:t> </w:t>
      </w:r>
      <w:r>
        <w:rPr>
          <w:rStyle w:val="Strong"/>
        </w:rPr>
        <w:t>0,290 W/</w:t>
      </w:r>
      <w:proofErr w:type="spellStart"/>
      <w:r>
        <w:rPr>
          <w:rStyle w:val="Strong"/>
        </w:rPr>
        <w:t>mK</w:t>
      </w:r>
      <w:proofErr w:type="spellEnd"/>
    </w:p>
    <w:p w14:paraId="1C586345" w14:textId="77777777" w:rsidR="007E389C" w:rsidRPr="007E389C" w:rsidRDefault="007E389C" w:rsidP="00891276">
      <w:pPr>
        <w:pStyle w:val="ListBullet"/>
      </w:pPr>
      <w:r>
        <w:rPr>
          <w:rStyle w:val="Strong"/>
        </w:rPr>
        <w:t>Disponible en un tota</w:t>
      </w:r>
      <w:r w:rsidR="004F23AF">
        <w:rPr>
          <w:rStyle w:val="Strong"/>
        </w:rPr>
        <w:t>l de 17 colores similares a RAL</w:t>
      </w:r>
      <w:r>
        <w:rPr>
          <w:rStyle w:val="Strong"/>
        </w:rPr>
        <w:br/>
      </w:r>
      <w:proofErr w:type="spellStart"/>
      <w:r>
        <w:t>RAL</w:t>
      </w:r>
      <w:proofErr w:type="spellEnd"/>
      <w:r>
        <w:t xml:space="preserve"> 9023, 9005, 9016, 5003, 8003, 8014, 1016, 6018, 6026, 7013, 1011, 1034, 6010, 1015, 1001, 7035 o 8012</w:t>
      </w:r>
    </w:p>
    <w:p w14:paraId="05E5152D" w14:textId="77777777" w:rsidR="005C3432" w:rsidRPr="00EF0A98" w:rsidRDefault="005C3432" w:rsidP="005C3432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Resumen de prestaciones</w:t>
      </w:r>
    </w:p>
    <w:p w14:paraId="406A2149" w14:textId="77777777" w:rsidR="007E389C" w:rsidRPr="007E389C" w:rsidRDefault="00891276" w:rsidP="00513780">
      <w:pPr>
        <w:pStyle w:val="Fliesstext"/>
        <w:rPr>
          <w:rStyle w:val="Strong"/>
        </w:rPr>
      </w:pPr>
      <w:r>
        <w:rPr>
          <w:rStyle w:val="Strong"/>
        </w:rPr>
        <w:t>Se puede utilizar en unidades de vidrio aislante de conformidad con DIN EN 1279</w:t>
      </w:r>
    </w:p>
    <w:p w14:paraId="428BC15D" w14:textId="6C362487" w:rsidR="00891276" w:rsidRPr="00865006" w:rsidRDefault="007E389C" w:rsidP="00865006">
      <w:pPr>
        <w:pStyle w:val="ListBullet"/>
      </w:pPr>
      <w:r>
        <w:t>Ejemplos de estructuras de unidades de vidrio aislante con S</w:t>
      </w:r>
      <w:r w:rsidR="008674CE">
        <w:t>wisspacer</w:t>
      </w:r>
      <w:r>
        <w:t xml:space="preserve"> </w:t>
      </w:r>
      <w:proofErr w:type="spellStart"/>
      <w:r>
        <w:t>Advance</w:t>
      </w:r>
      <w:proofErr w:type="spellEnd"/>
      <w:r>
        <w:t>:</w:t>
      </w:r>
    </w:p>
    <w:p w14:paraId="0685F072" w14:textId="77777777" w:rsidR="007E389C" w:rsidRPr="00891276" w:rsidRDefault="007E389C" w:rsidP="00865006">
      <w:pPr>
        <w:pStyle w:val="ListBullet2"/>
      </w:pPr>
      <w:r>
        <w:t xml:space="preserve">Doble acristalamiento aislante (4 – 16 Ar – 4): </w:t>
      </w:r>
      <w:proofErr w:type="spellStart"/>
      <w:r>
        <w:t>U</w:t>
      </w:r>
      <w:r>
        <w:rPr>
          <w:vertAlign w:val="subscript"/>
        </w:rPr>
        <w:t>g</w:t>
      </w:r>
      <w:proofErr w:type="spellEnd"/>
      <w:r>
        <w:t xml:space="preserve"> = 1,1 W/m²K </w:t>
      </w:r>
    </w:p>
    <w:p w14:paraId="5B65E8DB" w14:textId="77777777" w:rsidR="007E389C" w:rsidRPr="007E389C" w:rsidRDefault="007E389C" w:rsidP="00865006">
      <w:pPr>
        <w:pStyle w:val="ListBullet2"/>
      </w:pPr>
      <w:r>
        <w:t xml:space="preserve">Triple acristalamiento aislante (4 – 12 Ar – 4 – 12 Ar – 4): </w:t>
      </w:r>
      <w:proofErr w:type="spellStart"/>
      <w:r>
        <w:t>U</w:t>
      </w:r>
      <w:r>
        <w:rPr>
          <w:vertAlign w:val="subscript"/>
        </w:rPr>
        <w:t>g</w:t>
      </w:r>
      <w:proofErr w:type="spellEnd"/>
      <w:r w:rsidR="004F23AF">
        <w:t> = 0,7 W/m²K </w:t>
      </w:r>
    </w:p>
    <w:p w14:paraId="6FA2F02C" w14:textId="2F461E1E" w:rsidR="007E389C" w:rsidRPr="007E389C" w:rsidRDefault="007E389C" w:rsidP="00513780">
      <w:pPr>
        <w:pStyle w:val="Fliesstext"/>
        <w:rPr>
          <w:rStyle w:val="Strong"/>
        </w:rPr>
      </w:pPr>
      <w:r>
        <w:rPr>
          <w:rStyle w:val="Strong"/>
        </w:rPr>
        <w:t>Valores físicos o valores Psi (W/</w:t>
      </w:r>
      <w:proofErr w:type="spellStart"/>
      <w:r>
        <w:rPr>
          <w:rStyle w:val="Strong"/>
        </w:rPr>
        <w:t>mK</w:t>
      </w:r>
      <w:proofErr w:type="spellEnd"/>
      <w:r>
        <w:rPr>
          <w:rStyle w:val="Strong"/>
        </w:rPr>
        <w:t>) de unidades de vidrio aislante con S</w:t>
      </w:r>
      <w:r w:rsidR="008674CE">
        <w:rPr>
          <w:rStyle w:val="Strong"/>
        </w:rPr>
        <w:t>wisspacer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Advance</w:t>
      </w:r>
      <w:proofErr w:type="spellEnd"/>
      <w:r>
        <w:rPr>
          <w:rStyle w:val="Strong"/>
        </w:rPr>
        <w:t xml:space="preserve"> en función de los materiales del marco de la ventana</w:t>
      </w:r>
    </w:p>
    <w:p w14:paraId="58E4C749" w14:textId="77777777" w:rsidR="004266B2" w:rsidRDefault="007E389C" w:rsidP="00865006">
      <w:pPr>
        <w:pStyle w:val="ListBullet"/>
      </w:pPr>
      <w:r>
        <w:t xml:space="preserve">Coeficientes representativos de transferencia de calor lineal (valores Psi representativos) de conformidad con la </w:t>
      </w:r>
      <w:proofErr w:type="spellStart"/>
      <w:r>
        <w:t>ift-Guideline</w:t>
      </w:r>
      <w:proofErr w:type="spellEnd"/>
      <w:r>
        <w:t xml:space="preserve"> WA-08/3 «</w:t>
      </w:r>
      <w:proofErr w:type="spellStart"/>
      <w:r>
        <w:t>Thermally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spacers</w:t>
      </w:r>
      <w:proofErr w:type="spellEnd"/>
      <w:r>
        <w:t xml:space="preserve"> – </w:t>
      </w:r>
      <w:proofErr w:type="spellStart"/>
      <w:r>
        <w:t>Part</w:t>
      </w:r>
      <w:proofErr w:type="spellEnd"/>
      <w:r>
        <w:t xml:space="preserve"> 1: 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representative Psi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profiles</w:t>
      </w:r>
      <w:proofErr w:type="spellEnd"/>
      <w:r>
        <w:t>».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66703E" w14:paraId="29C713BF" w14:textId="77777777" w:rsidTr="00762A0C">
        <w:trPr>
          <w:cantSplit/>
          <w:trHeight w:hRule="exact" w:val="5103"/>
        </w:trPr>
        <w:tc>
          <w:tcPr>
            <w:tcW w:w="9072" w:type="dxa"/>
          </w:tcPr>
          <w:p w14:paraId="5BBE2CBC" w14:textId="77777777" w:rsidR="0066703E" w:rsidRPr="004266B2" w:rsidRDefault="004266B2" w:rsidP="00513780">
            <w:r>
              <w:rPr>
                <w:noProof/>
                <w:lang w:val="de-CH" w:eastAsia="de-CH"/>
              </w:rPr>
              <w:drawing>
                <wp:anchor distT="180340" distB="180340" distL="114300" distR="114300" simplePos="0" relativeHeight="251658240" behindDoc="1" locked="0" layoutInCell="1" allowOverlap="1" wp14:anchorId="6D236478" wp14:editId="01D24B2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229870</wp:posOffset>
                  </wp:positionV>
                  <wp:extent cx="5579745" cy="2852420"/>
                  <wp:effectExtent l="0" t="0" r="1905" b="508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_SWISSPACER_Advance_Datenblatt_BF_Fenster_Aus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745" cy="285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03E" w14:paraId="0EA23DF0" w14:textId="77777777" w:rsidTr="00762A0C">
        <w:trPr>
          <w:cantSplit/>
          <w:trHeight w:hRule="exact" w:val="851"/>
        </w:trPr>
        <w:tc>
          <w:tcPr>
            <w:tcW w:w="9072" w:type="dxa"/>
          </w:tcPr>
          <w:p w14:paraId="554D4BFE" w14:textId="14D533D1" w:rsidR="00762A0C" w:rsidRDefault="0066703E" w:rsidP="00762A0C">
            <w:pPr>
              <w:pStyle w:val="Footer"/>
            </w:pPr>
            <w:r>
              <w:t xml:space="preserve">Extracto de la ficha de especificaciones de valores Psi de ventanas (agosto de 2014 - N.º W24 - índice de revisión </w:t>
            </w:r>
            <w:r w:rsidR="008856BD">
              <w:t>5</w:t>
            </w:r>
            <w:r>
              <w:t>-0</w:t>
            </w:r>
            <w:r w:rsidR="00EC1A9F">
              <w:t>6</w:t>
            </w:r>
            <w:r>
              <w:t>/20</w:t>
            </w:r>
            <w:r w:rsidR="00EC1A9F">
              <w:t>2</w:t>
            </w:r>
            <w:r w:rsidR="008856BD">
              <w:t>3</w:t>
            </w:r>
            <w:r>
              <w:t xml:space="preserve"> - válido hasta el 30/06/202</w:t>
            </w:r>
            <w:r w:rsidR="008856BD">
              <w:t>5</w:t>
            </w:r>
            <w:r>
              <w:t xml:space="preserve">) </w:t>
            </w:r>
          </w:p>
          <w:p w14:paraId="116945AA" w14:textId="77777777" w:rsidR="0066703E" w:rsidRDefault="00D83F1C" w:rsidP="00762A0C">
            <w:pPr>
              <w:pStyle w:val="Footer"/>
            </w:pPr>
            <w:r>
              <w:t>© Grupo de trabajo «</w:t>
            </w:r>
            <w:proofErr w:type="spellStart"/>
            <w:r>
              <w:t>Warm</w:t>
            </w:r>
            <w:proofErr w:type="spellEnd"/>
            <w:r>
              <w:t xml:space="preserve"> </w:t>
            </w:r>
            <w:proofErr w:type="spellStart"/>
            <w:r>
              <w:t>edge</w:t>
            </w:r>
            <w:proofErr w:type="spellEnd"/>
            <w:r>
              <w:t>» / BF</w:t>
            </w:r>
          </w:p>
        </w:tc>
      </w:tr>
    </w:tbl>
    <w:p w14:paraId="012ED5FD" w14:textId="77777777" w:rsidR="00D83F1C" w:rsidRPr="00D83F1C" w:rsidRDefault="00D83F1C" w:rsidP="00D83F1C">
      <w:pPr>
        <w:pStyle w:val="Fliesstext"/>
        <w:rPr>
          <w:rStyle w:val="Strong"/>
          <w:rFonts w:ascii="Verdana" w:eastAsiaTheme="majorEastAsia" w:hAnsi="Verdana" w:cstheme="majorBidi"/>
          <w:bCs w:val="0"/>
          <w:szCs w:val="32"/>
          <w:highlight w:val="lightGray"/>
        </w:rPr>
      </w:pPr>
      <w:r>
        <w:br w:type="page"/>
      </w:r>
    </w:p>
    <w:p w14:paraId="7CD40E6B" w14:textId="77777777" w:rsidR="007E389C" w:rsidRPr="00D83F1C" w:rsidRDefault="002E59C8" w:rsidP="00D83F1C">
      <w:pPr>
        <w:pStyle w:val="Heading1"/>
        <w:ind w:left="431" w:hanging="431"/>
      </w:pPr>
      <w:r>
        <w:lastRenderedPageBreak/>
        <w:t xml:space="preserve">Producto </w:t>
      </w:r>
      <w:proofErr w:type="spellStart"/>
      <w:r>
        <w:t>prémium</w:t>
      </w:r>
      <w:proofErr w:type="spellEnd"/>
      <w:r>
        <w:t xml:space="preserve"> alternativo</w:t>
      </w:r>
    </w:p>
    <w:p w14:paraId="6E3A11F6" w14:textId="43E8564E" w:rsidR="00814E05" w:rsidRPr="0066703E" w:rsidRDefault="00814E05" w:rsidP="00513780">
      <w:pPr>
        <w:pStyle w:val="Fliesstext"/>
        <w:rPr>
          <w:rStyle w:val="Strong"/>
        </w:rPr>
      </w:pPr>
      <w:r>
        <w:rPr>
          <w:rStyle w:val="Strong"/>
        </w:rPr>
        <w:t xml:space="preserve">Perfil </w:t>
      </w:r>
      <w:proofErr w:type="spellStart"/>
      <w:r>
        <w:rPr>
          <w:rStyle w:val="Strong"/>
        </w:rPr>
        <w:t>intercalario</w:t>
      </w:r>
      <w:proofErr w:type="spellEnd"/>
      <w:r>
        <w:rPr>
          <w:rStyle w:val="Strong"/>
        </w:rPr>
        <w:t xml:space="preserve"> de borde caliente S</w:t>
      </w:r>
      <w:r w:rsidR="008674CE">
        <w:rPr>
          <w:rStyle w:val="Strong"/>
        </w:rPr>
        <w:t>wisspacer</w:t>
      </w:r>
      <w:r>
        <w:rPr>
          <w:rStyle w:val="Strong"/>
        </w:rPr>
        <w:t xml:space="preserve"> Ultimate</w:t>
      </w:r>
    </w:p>
    <w:p w14:paraId="44CFEFBF" w14:textId="50428DBD" w:rsidR="007E389C" w:rsidRPr="00814E05" w:rsidRDefault="007E389C" w:rsidP="00814E05">
      <w:pPr>
        <w:pStyle w:val="ListBullet"/>
        <w:ind w:left="357" w:hanging="357"/>
      </w:pPr>
      <w:r>
        <w:t xml:space="preserve">Perfil </w:t>
      </w:r>
      <w:proofErr w:type="spellStart"/>
      <w:r>
        <w:t>intercalario</w:t>
      </w:r>
      <w:proofErr w:type="spellEnd"/>
      <w:r>
        <w:t xml:space="preserve"> de estireno acrilonitrilo con una proporción de fibra de vidrio y lámina de estanqueidad al gas de alta tecnología.</w:t>
      </w:r>
    </w:p>
    <w:p w14:paraId="782D4315" w14:textId="77777777" w:rsidR="00814E05" w:rsidRPr="00814E05" w:rsidRDefault="00814E05" w:rsidP="00814E05">
      <w:pPr>
        <w:pStyle w:val="ListBullet"/>
        <w:ind w:left="357" w:hanging="357"/>
      </w:pPr>
      <w:r>
        <w:t xml:space="preserve">Conductividad térmica equivalente (de conformidad con la </w:t>
      </w:r>
      <w:proofErr w:type="spellStart"/>
      <w:r>
        <w:t>ift-Guideline</w:t>
      </w:r>
      <w:proofErr w:type="spellEnd"/>
      <w:r>
        <w:t xml:space="preserve"> WA-17/1): </w:t>
      </w:r>
      <w:r>
        <w:rPr>
          <w:rStyle w:val="Strong"/>
        </w:rPr>
        <w:t>λ = 0,140 W/</w:t>
      </w:r>
      <w:proofErr w:type="spellStart"/>
      <w:r>
        <w:rPr>
          <w:rStyle w:val="Strong"/>
        </w:rPr>
        <w:t>mK</w:t>
      </w:r>
      <w:proofErr w:type="spellEnd"/>
    </w:p>
    <w:p w14:paraId="7B736E84" w14:textId="77777777" w:rsidR="007E389C" w:rsidRPr="007E389C" w:rsidRDefault="007E389C" w:rsidP="00814E05">
      <w:pPr>
        <w:pStyle w:val="ListBullet"/>
        <w:ind w:left="357" w:hanging="357"/>
      </w:pPr>
      <w:r>
        <w:rPr>
          <w:rStyle w:val="Strong"/>
        </w:rPr>
        <w:t>Disponible en un total de 17 colores similares a RAL</w:t>
      </w:r>
      <w:r>
        <w:br/>
      </w:r>
      <w:proofErr w:type="spellStart"/>
      <w:r>
        <w:t>RAL</w:t>
      </w:r>
      <w:proofErr w:type="spellEnd"/>
      <w:r>
        <w:t>: 9023, 9005, 9016, 5003, 8003, 8014, 1016, 6018, 6026, 7013, 1011, 1034, 6010, 1015, 1001, 7035 o 8012</w:t>
      </w:r>
    </w:p>
    <w:p w14:paraId="1663C1C1" w14:textId="77777777" w:rsidR="00513780" w:rsidRPr="00FB00D4" w:rsidRDefault="00F02FAF" w:rsidP="00FB00D4">
      <w:pPr>
        <w:pStyle w:val="Heading1"/>
      </w:pPr>
      <w:r>
        <w:t>Producto complementario</w:t>
      </w:r>
    </w:p>
    <w:p w14:paraId="0C0CD013" w14:textId="1794985B" w:rsidR="00513780" w:rsidRPr="00FB00D4" w:rsidRDefault="008674CE" w:rsidP="00FB00D4">
      <w:pPr>
        <w:rPr>
          <w:rStyle w:val="Strong"/>
        </w:rPr>
      </w:pPr>
      <w:r>
        <w:rPr>
          <w:rStyle w:val="Strong"/>
        </w:rPr>
        <w:t xml:space="preserve">Swisspacer Air </w:t>
      </w:r>
      <w:r w:rsidR="00513780">
        <w:rPr>
          <w:rStyle w:val="Strong"/>
        </w:rPr>
        <w:t>para la compensación de presión permanent</w:t>
      </w:r>
      <w:r w:rsidR="004F23AF">
        <w:rPr>
          <w:rStyle w:val="Strong"/>
        </w:rPr>
        <w:t>e de vidrios </w:t>
      </w:r>
      <w:r w:rsidR="00513780">
        <w:rPr>
          <w:rStyle w:val="Strong"/>
        </w:rPr>
        <w:t>aislantes</w:t>
      </w:r>
    </w:p>
    <w:p w14:paraId="62971CE7" w14:textId="7B73F9C9" w:rsidR="00513780" w:rsidRDefault="008674CE" w:rsidP="00B97EDF">
      <w:pPr>
        <w:pStyle w:val="ListBullet"/>
        <w:numPr>
          <w:ilvl w:val="0"/>
          <w:numId w:val="29"/>
        </w:numPr>
      </w:pPr>
      <w:r>
        <w:t xml:space="preserve">Swisspacer Air </w:t>
      </w:r>
      <w:r w:rsidR="00513780">
        <w:t>es un manguito metálico con una membrana especial integrada. Este componente compensa la presión en las unidades de vidrio aislante de forma permanente con el objetivo de poderlas transportar a lo largo de trayectos con diferencias de altitud y minimizar así la deformación de los cristales como consecuencia de las cargas climáticas.</w:t>
      </w:r>
    </w:p>
    <w:p w14:paraId="5A3CA601" w14:textId="77777777" w:rsidR="00FB57AB" w:rsidRDefault="00FB57AB" w:rsidP="00FB57AB">
      <w:pPr>
        <w:pStyle w:val="ListBullet"/>
        <w:ind w:left="357" w:hanging="357"/>
      </w:pPr>
      <w:r>
        <w:t>Homologación general de construcción/homologación general de tipo</w:t>
      </w:r>
      <w:r>
        <w:br/>
        <w:t>N.º Z-70.4-249 de 11 de marzo de 2019 para: Unidad de vidrio aislante no sometida a presión con la válvula de compensación de la presión Swisspacer Air (traducción del original en alemán)</w:t>
      </w:r>
    </w:p>
    <w:p w14:paraId="63B95744" w14:textId="77777777" w:rsidR="007E389C" w:rsidRPr="00EF0A98" w:rsidRDefault="007E389C" w:rsidP="00FB00D4">
      <w:pPr>
        <w:pStyle w:val="Heading1"/>
      </w:pPr>
      <w:r>
        <w:t>Fabricante</w:t>
      </w:r>
    </w:p>
    <w:p w14:paraId="1B4180CB" w14:textId="54311C60" w:rsidR="2A64CA5A" w:rsidRDefault="2A64CA5A" w:rsidP="4A72B8BE">
      <w:pPr>
        <w:pStyle w:val="Fliesstext"/>
      </w:pPr>
      <w:r w:rsidRPr="00816EBD">
        <w:rPr>
          <w:rFonts w:eastAsia="Verdana" w:cs="Verdana"/>
          <w:color w:val="000000"/>
          <w:lang w:val="de-DE"/>
        </w:rPr>
        <w:t>Swisspacer Vetrotech Saint-Gobain (International) AG</w:t>
      </w:r>
      <w:r>
        <w:br/>
      </w:r>
      <w:proofErr w:type="spellStart"/>
      <w:r w:rsidRPr="4A72B8BE">
        <w:rPr>
          <w:rFonts w:eastAsia="Verdana" w:cs="Verdana"/>
          <w:color w:val="000000"/>
          <w:lang w:val="fr-CH"/>
        </w:rPr>
        <w:t>Zweigniederlassung</w:t>
      </w:r>
      <w:proofErr w:type="spellEnd"/>
      <w:r w:rsidRPr="4A72B8BE">
        <w:rPr>
          <w:rFonts w:eastAsia="Verdana" w:cs="Verdana"/>
          <w:color w:val="000000"/>
          <w:lang w:val="fr-CH"/>
        </w:rPr>
        <w:t xml:space="preserve"> </w:t>
      </w:r>
      <w:proofErr w:type="spellStart"/>
      <w:r w:rsidRPr="4A72B8BE">
        <w:rPr>
          <w:rFonts w:eastAsia="Verdana" w:cs="Verdana"/>
          <w:color w:val="000000"/>
          <w:lang w:val="fr-CH"/>
        </w:rPr>
        <w:t>Lengwil</w:t>
      </w:r>
      <w:proofErr w:type="spellEnd"/>
      <w:r w:rsidRPr="4A72B8BE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4A72B8BE">
        <w:rPr>
          <w:rFonts w:eastAsia="Verdana" w:cs="Verdana"/>
          <w:color w:val="000000"/>
          <w:lang w:val="fr-CH"/>
        </w:rPr>
        <w:t>Industriestrasse</w:t>
      </w:r>
      <w:proofErr w:type="spellEnd"/>
      <w:r w:rsidRPr="4A72B8BE">
        <w:rPr>
          <w:rFonts w:eastAsia="Verdana" w:cs="Verdana"/>
          <w:color w:val="000000"/>
          <w:lang w:val="fr-CH"/>
        </w:rPr>
        <w:t xml:space="preserve"> 8, 8574 </w:t>
      </w:r>
      <w:proofErr w:type="spellStart"/>
      <w:r w:rsidRPr="4A72B8BE">
        <w:rPr>
          <w:rFonts w:eastAsia="Verdana" w:cs="Verdana"/>
          <w:color w:val="000000"/>
          <w:lang w:val="fr-CH"/>
        </w:rPr>
        <w:t>Lengwil</w:t>
      </w:r>
      <w:proofErr w:type="spellEnd"/>
      <w:r w:rsidRPr="4A72B8BE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4A72B8BE">
        <w:rPr>
          <w:rFonts w:eastAsia="Verdana" w:cs="Verdana"/>
          <w:color w:val="000000"/>
          <w:lang w:val="fr-CH"/>
        </w:rPr>
        <w:t>Suiza</w:t>
      </w:r>
      <w:proofErr w:type="spellEnd"/>
      <w:r>
        <w:br/>
      </w:r>
      <w:r w:rsidRPr="4A72B8BE">
        <w:rPr>
          <w:rFonts w:eastAsia="Verdana" w:cs="Verdana"/>
          <w:color w:val="000000"/>
          <w:lang w:val="de-DE"/>
        </w:rPr>
        <w:t>www.swisspacer.com; info@swisspacer.com</w:t>
      </w:r>
    </w:p>
    <w:p w14:paraId="225B646F" w14:textId="49949E94" w:rsidR="4A72B8BE" w:rsidRDefault="4A72B8BE" w:rsidP="4A72B8BE">
      <w:pPr>
        <w:pStyle w:val="Fliesstext"/>
      </w:pPr>
    </w:p>
    <w:sectPr w:rsidR="4A72B8BE" w:rsidSect="00F02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8E87" w14:textId="77777777" w:rsidR="00B23156" w:rsidRDefault="00B23156" w:rsidP="007E389C">
      <w:pPr>
        <w:spacing w:after="0" w:line="240" w:lineRule="auto"/>
      </w:pPr>
      <w:r>
        <w:separator/>
      </w:r>
    </w:p>
  </w:endnote>
  <w:endnote w:type="continuationSeparator" w:id="0">
    <w:p w14:paraId="096C676E" w14:textId="77777777" w:rsidR="00B23156" w:rsidRDefault="00B23156" w:rsidP="007E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A632" w14:textId="77777777" w:rsidR="00816EBD" w:rsidRDefault="00816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C1057DD" w14:paraId="3B364144" w14:textId="77777777" w:rsidTr="1C1057DD">
      <w:trPr>
        <w:trHeight w:val="300"/>
      </w:trPr>
      <w:tc>
        <w:tcPr>
          <w:tcW w:w="3115" w:type="dxa"/>
        </w:tcPr>
        <w:p w14:paraId="2BA31A6A" w14:textId="1BC55E4F" w:rsidR="1C1057DD" w:rsidRDefault="1C1057DD" w:rsidP="1C1057DD">
          <w:pPr>
            <w:pStyle w:val="Header"/>
            <w:ind w:left="-115"/>
          </w:pPr>
        </w:p>
      </w:tc>
      <w:tc>
        <w:tcPr>
          <w:tcW w:w="3115" w:type="dxa"/>
        </w:tcPr>
        <w:p w14:paraId="65A9C6B1" w14:textId="6D9B4C5D" w:rsidR="1C1057DD" w:rsidRDefault="1C1057DD" w:rsidP="1C1057DD">
          <w:pPr>
            <w:pStyle w:val="Header"/>
            <w:jc w:val="center"/>
          </w:pPr>
        </w:p>
      </w:tc>
      <w:tc>
        <w:tcPr>
          <w:tcW w:w="3115" w:type="dxa"/>
        </w:tcPr>
        <w:p w14:paraId="683929EC" w14:textId="0E260F2C" w:rsidR="1C1057DD" w:rsidRDefault="1C1057DD" w:rsidP="1C1057DD">
          <w:pPr>
            <w:pStyle w:val="Header"/>
            <w:ind w:right="-115"/>
            <w:jc w:val="right"/>
          </w:pPr>
        </w:p>
      </w:tc>
    </w:tr>
  </w:tbl>
  <w:p w14:paraId="1CB489B9" w14:textId="653D336E" w:rsidR="1C1057DD" w:rsidRDefault="1C1057DD" w:rsidP="1C1057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C583" w14:textId="77777777" w:rsidR="00816EBD" w:rsidRDefault="00816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7FC8" w14:textId="77777777" w:rsidR="00B23156" w:rsidRDefault="00B23156" w:rsidP="007E389C">
      <w:pPr>
        <w:spacing w:after="0" w:line="240" w:lineRule="auto"/>
      </w:pPr>
      <w:r>
        <w:separator/>
      </w:r>
    </w:p>
  </w:footnote>
  <w:footnote w:type="continuationSeparator" w:id="0">
    <w:p w14:paraId="171A7C8D" w14:textId="77777777" w:rsidR="00B23156" w:rsidRDefault="00B23156" w:rsidP="007E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BB6A" w14:textId="77777777" w:rsidR="00816EBD" w:rsidRDefault="00816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FB2F" w14:textId="77777777" w:rsidR="007E389C" w:rsidRPr="00816EBD" w:rsidRDefault="007E389C" w:rsidP="00816EBD">
    <w:pPr>
      <w:pStyle w:val="Title"/>
    </w:pPr>
    <w:r w:rsidRPr="00816EBD">
      <w:rPr>
        <w:lang w:val="de-CH" w:eastAsia="de-CH"/>
      </w:rPr>
      <w:drawing>
        <wp:anchor distT="0" distB="0" distL="114300" distR="114300" simplePos="0" relativeHeight="251658240" behindDoc="1" locked="0" layoutInCell="1" allowOverlap="1" wp14:anchorId="5336BC2D" wp14:editId="647EA0E1">
          <wp:simplePos x="0" y="0"/>
          <wp:positionH relativeFrom="column">
            <wp:posOffset>4008120</wp:posOffset>
          </wp:positionH>
          <wp:positionV relativeFrom="paragraph">
            <wp:posOffset>38735</wp:posOffset>
          </wp:positionV>
          <wp:extent cx="1799590" cy="204470"/>
          <wp:effectExtent l="0" t="0" r="0" b="5080"/>
          <wp:wrapTight wrapText="bothSides">
            <wp:wrapPolygon edited="0">
              <wp:start x="15548" y="0"/>
              <wp:lineTo x="0" y="0"/>
              <wp:lineTo x="0" y="20124"/>
              <wp:lineTo x="7774" y="20124"/>
              <wp:lineTo x="12119" y="20124"/>
              <wp:lineTo x="21265" y="18112"/>
              <wp:lineTo x="21265" y="2012"/>
              <wp:lineTo x="16463" y="0"/>
              <wp:lineTo x="15548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6E76673" w:rsidRPr="00816EBD">
      <w:t>Pliego de condiciones técnicas: Ventana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FF66" w14:textId="77777777" w:rsidR="00816EBD" w:rsidRDefault="00816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421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E3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8C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F6A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E0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CD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23EC"/>
    <w:lvl w:ilvl="0">
      <w:start w:val="1"/>
      <w:numFmt w:val="decimal"/>
      <w:pStyle w:val="ListBullet2"/>
      <w:lvlText w:val="(%1)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383C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8C0DE8"/>
    <w:lvl w:ilvl="0">
      <w:start w:val="1"/>
      <w:numFmt w:val="bullet"/>
      <w:pStyle w:val="ListBullet"/>
      <w:lvlText w:val="‒"/>
      <w:lvlJc w:val="left"/>
      <w:pPr>
        <w:ind w:left="360" w:hanging="360"/>
      </w:pPr>
      <w:rPr>
        <w:rFonts w:ascii="Verdana" w:hAnsi="Verdana" w:hint="default"/>
      </w:rPr>
    </w:lvl>
  </w:abstractNum>
  <w:abstractNum w:abstractNumId="10" w15:restartNumberingAfterBreak="0">
    <w:nsid w:val="1FE00B25"/>
    <w:multiLevelType w:val="hybridMultilevel"/>
    <w:tmpl w:val="F47249D4"/>
    <w:lvl w:ilvl="0" w:tplc="76AC34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2296"/>
    <w:multiLevelType w:val="multilevel"/>
    <w:tmpl w:val="A4A85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6D22B9"/>
    <w:multiLevelType w:val="hybridMultilevel"/>
    <w:tmpl w:val="93B8719E"/>
    <w:lvl w:ilvl="0" w:tplc="FD7C3A1A">
      <w:start w:val="1"/>
      <w:numFmt w:val="bullet"/>
      <w:pStyle w:val="ListBullet3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0231BD"/>
    <w:multiLevelType w:val="multilevel"/>
    <w:tmpl w:val="23E09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0121293">
    <w:abstractNumId w:val="9"/>
  </w:num>
  <w:num w:numId="2" w16cid:durableId="1890727180">
    <w:abstractNumId w:val="9"/>
  </w:num>
  <w:num w:numId="3" w16cid:durableId="1933276170">
    <w:abstractNumId w:val="7"/>
  </w:num>
  <w:num w:numId="4" w16cid:durableId="539246715">
    <w:abstractNumId w:val="7"/>
  </w:num>
  <w:num w:numId="5" w16cid:durableId="2085754499">
    <w:abstractNumId w:val="13"/>
  </w:num>
  <w:num w:numId="6" w16cid:durableId="1540707216">
    <w:abstractNumId w:val="11"/>
  </w:num>
  <w:num w:numId="7" w16cid:durableId="1755589326">
    <w:abstractNumId w:val="6"/>
  </w:num>
  <w:num w:numId="8" w16cid:durableId="457603602">
    <w:abstractNumId w:val="5"/>
  </w:num>
  <w:num w:numId="9" w16cid:durableId="1913855418">
    <w:abstractNumId w:val="4"/>
  </w:num>
  <w:num w:numId="10" w16cid:durableId="611404571">
    <w:abstractNumId w:val="8"/>
  </w:num>
  <w:num w:numId="11" w16cid:durableId="1315332130">
    <w:abstractNumId w:val="3"/>
  </w:num>
  <w:num w:numId="12" w16cid:durableId="1714578350">
    <w:abstractNumId w:val="2"/>
  </w:num>
  <w:num w:numId="13" w16cid:durableId="556625087">
    <w:abstractNumId w:val="1"/>
  </w:num>
  <w:num w:numId="14" w16cid:durableId="89667352">
    <w:abstractNumId w:val="0"/>
  </w:num>
  <w:num w:numId="15" w16cid:durableId="803893404">
    <w:abstractNumId w:val="12"/>
  </w:num>
  <w:num w:numId="16" w16cid:durableId="1299382697">
    <w:abstractNumId w:val="9"/>
  </w:num>
  <w:num w:numId="17" w16cid:durableId="1217739378">
    <w:abstractNumId w:val="11"/>
  </w:num>
  <w:num w:numId="18" w16cid:durableId="32310618">
    <w:abstractNumId w:val="9"/>
  </w:num>
  <w:num w:numId="19" w16cid:durableId="1995210168">
    <w:abstractNumId w:val="9"/>
  </w:num>
  <w:num w:numId="20" w16cid:durableId="1101267385">
    <w:abstractNumId w:val="9"/>
  </w:num>
  <w:num w:numId="21" w16cid:durableId="1421294198">
    <w:abstractNumId w:val="9"/>
  </w:num>
  <w:num w:numId="22" w16cid:durableId="2081444292">
    <w:abstractNumId w:val="10"/>
  </w:num>
  <w:num w:numId="23" w16cid:durableId="2036077911">
    <w:abstractNumId w:val="9"/>
  </w:num>
  <w:num w:numId="24" w16cid:durableId="1102073279">
    <w:abstractNumId w:val="11"/>
  </w:num>
  <w:num w:numId="25" w16cid:durableId="2126147459">
    <w:abstractNumId w:val="11"/>
  </w:num>
  <w:num w:numId="26" w16cid:durableId="379935490">
    <w:abstractNumId w:val="11"/>
  </w:num>
  <w:num w:numId="27" w16cid:durableId="959145476">
    <w:abstractNumId w:val="11"/>
  </w:num>
  <w:num w:numId="28" w16cid:durableId="1835873000">
    <w:abstractNumId w:val="11"/>
  </w:num>
  <w:num w:numId="29" w16cid:durableId="206963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08"/>
    <w:rsid w:val="000D5308"/>
    <w:rsid w:val="001A5378"/>
    <w:rsid w:val="001C2FC3"/>
    <w:rsid w:val="00206703"/>
    <w:rsid w:val="00234569"/>
    <w:rsid w:val="00235DFF"/>
    <w:rsid w:val="002428A9"/>
    <w:rsid w:val="00284F3A"/>
    <w:rsid w:val="002E59C8"/>
    <w:rsid w:val="0035241B"/>
    <w:rsid w:val="003E2CA1"/>
    <w:rsid w:val="004266B2"/>
    <w:rsid w:val="00453A11"/>
    <w:rsid w:val="004559D7"/>
    <w:rsid w:val="004850FC"/>
    <w:rsid w:val="004F23AF"/>
    <w:rsid w:val="004F3C6E"/>
    <w:rsid w:val="00513780"/>
    <w:rsid w:val="0051495F"/>
    <w:rsid w:val="005225A1"/>
    <w:rsid w:val="005A3316"/>
    <w:rsid w:val="005C3432"/>
    <w:rsid w:val="005D45F0"/>
    <w:rsid w:val="005E3CDA"/>
    <w:rsid w:val="0060563C"/>
    <w:rsid w:val="0066703E"/>
    <w:rsid w:val="006E1F8F"/>
    <w:rsid w:val="007602B5"/>
    <w:rsid w:val="00762A0C"/>
    <w:rsid w:val="007E2045"/>
    <w:rsid w:val="007E389C"/>
    <w:rsid w:val="00814E05"/>
    <w:rsid w:val="00816EBD"/>
    <w:rsid w:val="00865006"/>
    <w:rsid w:val="008674CE"/>
    <w:rsid w:val="008856BD"/>
    <w:rsid w:val="00891276"/>
    <w:rsid w:val="008B191C"/>
    <w:rsid w:val="008C3D01"/>
    <w:rsid w:val="008D3ED9"/>
    <w:rsid w:val="009A1C1B"/>
    <w:rsid w:val="009E0530"/>
    <w:rsid w:val="00A37B9F"/>
    <w:rsid w:val="00A67EA1"/>
    <w:rsid w:val="00AF6D72"/>
    <w:rsid w:val="00B23156"/>
    <w:rsid w:val="00C27C64"/>
    <w:rsid w:val="00CF46E4"/>
    <w:rsid w:val="00D25C29"/>
    <w:rsid w:val="00D83F1C"/>
    <w:rsid w:val="00DC3303"/>
    <w:rsid w:val="00EC1A9F"/>
    <w:rsid w:val="00EF0A98"/>
    <w:rsid w:val="00F02FAF"/>
    <w:rsid w:val="00F4752C"/>
    <w:rsid w:val="00F62201"/>
    <w:rsid w:val="00FB00D4"/>
    <w:rsid w:val="00FB57AB"/>
    <w:rsid w:val="1C1057DD"/>
    <w:rsid w:val="2A64CA5A"/>
    <w:rsid w:val="498B6A65"/>
    <w:rsid w:val="4A72B8BE"/>
    <w:rsid w:val="70EF26D8"/>
    <w:rsid w:val="76E7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E5089"/>
  <w15:chartTrackingRefBased/>
  <w15:docId w15:val="{6A1EDE1B-135E-48B7-94AA-DF21DD2D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D4"/>
    <w:pPr>
      <w:spacing w:after="120"/>
    </w:pPr>
  </w:style>
  <w:style w:type="paragraph" w:styleId="Heading1">
    <w:name w:val="heading 1"/>
    <w:basedOn w:val="Normal"/>
    <w:next w:val="Fliesstext"/>
    <w:link w:val="Heading1Char"/>
    <w:autoRedefine/>
    <w:uiPriority w:val="9"/>
    <w:qFormat/>
    <w:rsid w:val="00FB00D4"/>
    <w:pPr>
      <w:keepNext/>
      <w:keepLines/>
      <w:numPr>
        <w:numId w:val="6"/>
      </w:numPr>
      <w:spacing w:before="240" w:line="360" w:lineRule="exac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Fliesstext"/>
    <w:link w:val="Heading2Char"/>
    <w:autoRedefine/>
    <w:uiPriority w:val="9"/>
    <w:unhideWhenUsed/>
    <w:qFormat/>
    <w:rsid w:val="00234569"/>
    <w:pPr>
      <w:keepNext/>
      <w:keepLines/>
      <w:numPr>
        <w:ilvl w:val="1"/>
        <w:numId w:val="6"/>
      </w:numPr>
      <w:spacing w:before="240" w:line="240" w:lineRule="exact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34569"/>
    <w:pPr>
      <w:keepNext/>
      <w:keepLines/>
      <w:numPr>
        <w:ilvl w:val="2"/>
        <w:numId w:val="6"/>
      </w:numPr>
      <w:spacing w:before="240" w:line="240" w:lineRule="exact"/>
      <w:ind w:left="851" w:hanging="851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paragraph" w:styleId="Heading4">
    <w:name w:val="heading 4"/>
    <w:basedOn w:val="Normal"/>
    <w:next w:val="Fliesstext"/>
    <w:link w:val="Heading4Char"/>
    <w:autoRedefine/>
    <w:uiPriority w:val="9"/>
    <w:unhideWhenUsed/>
    <w:qFormat/>
    <w:rsid w:val="00234569"/>
    <w:pPr>
      <w:keepNext/>
      <w:keepLines/>
      <w:numPr>
        <w:ilvl w:val="3"/>
        <w:numId w:val="6"/>
      </w:numPr>
      <w:spacing w:before="240" w:after="0" w:line="240" w:lineRule="exact"/>
      <w:ind w:left="1021" w:hanging="1021"/>
      <w:outlineLvl w:val="3"/>
    </w:pPr>
    <w:rPr>
      <w:rFonts w:asciiTheme="majorHAnsi" w:eastAsiaTheme="majorEastAsia" w:hAnsiTheme="majorHAnsi" w:cstheme="majorBidi"/>
      <w:iCs/>
      <w:color w:val="808080" w:themeColor="background1" w:themeShade="80"/>
    </w:rPr>
  </w:style>
  <w:style w:type="paragraph" w:styleId="Heading5">
    <w:name w:val="heading 5"/>
    <w:basedOn w:val="Normal"/>
    <w:next w:val="Fliesstext"/>
    <w:link w:val="Heading5Char"/>
    <w:autoRedefine/>
    <w:uiPriority w:val="9"/>
    <w:unhideWhenUsed/>
    <w:qFormat/>
    <w:rsid w:val="007602B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1A537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B9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9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9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0D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569"/>
    <w:rPr>
      <w:rFonts w:eastAsiaTheme="majorEastAsia" w:cstheme="majorBidi"/>
      <w:b/>
      <w:szCs w:val="26"/>
      <w:lang w:val="es-ES"/>
    </w:rPr>
  </w:style>
  <w:style w:type="paragraph" w:styleId="Title">
    <w:name w:val="Title"/>
    <w:basedOn w:val="Normal"/>
    <w:next w:val="Fliesstext"/>
    <w:link w:val="TitleChar"/>
    <w:autoRedefine/>
    <w:uiPriority w:val="10"/>
    <w:qFormat/>
    <w:rsid w:val="00816EBD"/>
    <w:pPr>
      <w:spacing w:after="360" w:line="360" w:lineRule="exact"/>
    </w:pPr>
    <w:rPr>
      <w:rFonts w:eastAsiaTheme="majorEastAsia" w:cstheme="majorBidi"/>
      <w:noProof/>
      <w:kern w:val="28"/>
      <w:sz w:val="28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16EBD"/>
    <w:rPr>
      <w:rFonts w:eastAsiaTheme="majorEastAsia" w:cstheme="majorBidi"/>
      <w:noProof/>
      <w:kern w:val="28"/>
      <w:sz w:val="28"/>
      <w:szCs w:val="56"/>
      <w:lang w:eastAsia="en-GB"/>
    </w:rPr>
  </w:style>
  <w:style w:type="paragraph" w:customStyle="1" w:styleId="Fliesstext">
    <w:name w:val="Fliesstext"/>
    <w:basedOn w:val="Normal"/>
    <w:autoRedefine/>
    <w:qFormat/>
    <w:rsid w:val="00513780"/>
    <w:pPr>
      <w:keepLines/>
      <w:spacing w:before="120" w:line="240" w:lineRule="exact"/>
    </w:pPr>
  </w:style>
  <w:style w:type="paragraph" w:styleId="ListBullet">
    <w:name w:val="List Bullet"/>
    <w:basedOn w:val="Normal"/>
    <w:autoRedefine/>
    <w:uiPriority w:val="99"/>
    <w:unhideWhenUsed/>
    <w:qFormat/>
    <w:rsid w:val="00891276"/>
    <w:pPr>
      <w:keepLines/>
      <w:numPr>
        <w:numId w:val="2"/>
      </w:numPr>
      <w:spacing w:after="0" w:line="280" w:lineRule="exact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234569"/>
    <w:pPr>
      <w:keepLines/>
      <w:numPr>
        <w:numId w:val="4"/>
      </w:numPr>
      <w:spacing w:before="120" w:line="240" w:lineRule="exact"/>
      <w:ind w:left="641" w:hanging="357"/>
      <w:contextualSpacing/>
    </w:pPr>
  </w:style>
  <w:style w:type="paragraph" w:styleId="ListParagraph">
    <w:name w:val="List Paragraph"/>
    <w:basedOn w:val="Normal"/>
    <w:autoRedefine/>
    <w:uiPriority w:val="34"/>
    <w:qFormat/>
    <w:rsid w:val="00234569"/>
    <w:pPr>
      <w:spacing w:line="240" w:lineRule="exact"/>
      <w:ind w:left="851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34569"/>
    <w:rPr>
      <w:rFonts w:asciiTheme="majorHAnsi" w:eastAsiaTheme="majorEastAsia" w:hAnsiTheme="majorHAnsi" w:cstheme="majorBidi"/>
      <w:iCs/>
      <w:color w:val="808080" w:themeColor="background1" w:themeShade="80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7602B5"/>
    <w:rPr>
      <w:rFonts w:asciiTheme="majorHAnsi" w:eastAsiaTheme="majorEastAsia" w:hAnsiTheme="majorHAnsi" w:cstheme="majorBidi"/>
      <w:color w:val="808080" w:themeColor="background1" w:themeShade="80"/>
    </w:rPr>
  </w:style>
  <w:style w:type="character" w:styleId="Emphasis">
    <w:name w:val="Emphasis"/>
    <w:basedOn w:val="DefaultParagraphFont"/>
    <w:uiPriority w:val="20"/>
    <w:rsid w:val="007602B5"/>
    <w:rPr>
      <w:rFonts w:asciiTheme="minorHAnsi" w:hAnsiTheme="minorHAnsi"/>
      <w:b/>
      <w:i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34569"/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A537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A5378"/>
    <w:rPr>
      <w:rFonts w:asciiTheme="minorHAnsi" w:hAnsiTheme="minorHAns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37B9F"/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9F"/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9F"/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paragraph" w:styleId="NoSpacing">
    <w:name w:val="No Spacing"/>
    <w:uiPriority w:val="1"/>
    <w:rsid w:val="009A1C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A1C1B"/>
    <w:rPr>
      <w:color w:val="808080" w:themeColor="background1" w:themeShade="80"/>
      <w:u w:val="single"/>
    </w:rPr>
  </w:style>
  <w:style w:type="paragraph" w:styleId="ListBullet3">
    <w:name w:val="List Bullet 3"/>
    <w:aliases w:val="Aufzählungszeichen 3 eingerückt"/>
    <w:basedOn w:val="Normal"/>
    <w:autoRedefine/>
    <w:uiPriority w:val="99"/>
    <w:unhideWhenUsed/>
    <w:rsid w:val="00234569"/>
    <w:pPr>
      <w:keepLines/>
      <w:numPr>
        <w:numId w:val="15"/>
      </w:numPr>
      <w:spacing w:before="120" w:line="240" w:lineRule="exact"/>
      <w:ind w:left="1208" w:hanging="357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EA1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A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9C"/>
  </w:style>
  <w:style w:type="paragraph" w:styleId="Footer">
    <w:name w:val="footer"/>
    <w:basedOn w:val="Normal"/>
    <w:link w:val="FooterChar"/>
    <w:autoRedefine/>
    <w:uiPriority w:val="99"/>
    <w:unhideWhenUsed/>
    <w:rsid w:val="0066703E"/>
    <w:pPr>
      <w:tabs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703E"/>
    <w:rPr>
      <w:color w:val="808080" w:themeColor="background1" w:themeShade="80"/>
      <w:sz w:val="16"/>
    </w:rPr>
  </w:style>
  <w:style w:type="table" w:styleId="TableGrid">
    <w:name w:val="Table Grid"/>
    <w:basedOn w:val="TableNormal"/>
    <w:uiPriority w:val="39"/>
    <w:rsid w:val="006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WISSPACER">
      <a:dk1>
        <a:srgbClr val="212121"/>
      </a:dk1>
      <a:lt1>
        <a:sysClr val="window" lastClr="FFFFFF"/>
      </a:lt1>
      <a:dk2>
        <a:srgbClr val="FF8F00"/>
      </a:dk2>
      <a:lt2>
        <a:srgbClr val="AAAEA1"/>
      </a:lt2>
      <a:accent1>
        <a:srgbClr val="824BB0"/>
      </a:accent1>
      <a:accent2>
        <a:srgbClr val="FED299"/>
      </a:accent2>
      <a:accent3>
        <a:srgbClr val="DDDED9"/>
      </a:accent3>
      <a:accent4>
        <a:srgbClr val="CDB6E0"/>
      </a:accent4>
      <a:accent5>
        <a:srgbClr val="646464"/>
      </a:accent5>
      <a:accent6>
        <a:srgbClr val="212121"/>
      </a:accent6>
      <a:hlink>
        <a:srgbClr val="FF8F00"/>
      </a:hlink>
      <a:folHlink>
        <a:srgbClr val="824BB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Topic xmlns="b948544a-0b2b-4353-8ff4-4d9434a9ad6b">
      <Value>ADVANCE (ADV)</Value>
    </Product_x002f_Topic>
    <Non_x002d_specific_x0028_NON_x0029_ xmlns="b948544a-0b2b-4353-8ff4-4d9434a9ad6b">Tender Spec Windows</Non_x002d_specific_x0028_NON_x0029_>
    <Target xmlns="b948544a-0b2b-4353-8ff4-4d9434a9ad6b">Architect / Specifier (ARC)</Target>
    <Language xmlns="b948544a-0b2b-4353-8ff4-4d9434a9ad6b">ES</Language>
    <lcf76f155ced4ddcb4097134ff3c332f xmlns="b948544a-0b2b-4353-8ff4-4d9434a9ad6b">
      <Terms xmlns="http://schemas.microsoft.com/office/infopath/2007/PartnerControls"/>
    </lcf76f155ced4ddcb4097134ff3c332f>
    <TaxCatchAll xmlns="363074ba-f2cf-4f40-894b-c83b3f4da915" xsi:nil="true"/>
    <Date xmlns="b948544a-0b2b-4353-8ff4-4d9434a9ad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0AF6954538B4CBAE301DA56A52630" ma:contentTypeVersion="27" ma:contentTypeDescription="Create a new document." ma:contentTypeScope="" ma:versionID="10f0d009daf2e2343a2416c3d50cf75c">
  <xsd:schema xmlns:xsd="http://www.w3.org/2001/XMLSchema" xmlns:xs="http://www.w3.org/2001/XMLSchema" xmlns:p="http://schemas.microsoft.com/office/2006/metadata/properties" xmlns:ns2="b948544a-0b2b-4353-8ff4-4d9434a9ad6b" xmlns:ns3="363074ba-f2cf-4f40-894b-c83b3f4da915" targetNamespace="http://schemas.microsoft.com/office/2006/metadata/properties" ma:root="true" ma:fieldsID="3896d600947eeb9fcdcd0359e41c2a89" ns2:_="" ns3:_="">
    <xsd:import namespace="b948544a-0b2b-4353-8ff4-4d9434a9ad6b"/>
    <xsd:import namespace="363074ba-f2cf-4f40-894b-c83b3f4da915"/>
    <xsd:element name="properties">
      <xsd:complexType>
        <xsd:sequence>
          <xsd:element name="documentManagement">
            <xsd:complexType>
              <xsd:all>
                <xsd:element ref="ns2:Product_x002f_Topic" minOccurs="0"/>
                <xsd:element ref="ns2:Non_x002d_specific_x0028_NON_x0029_" minOccurs="0"/>
                <xsd:element ref="ns2:Target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44a-0b2b-4353-8ff4-4d9434a9ad6b" elementFormDefault="qualified">
    <xsd:import namespace="http://schemas.microsoft.com/office/2006/documentManagement/types"/>
    <xsd:import namespace="http://schemas.microsoft.com/office/infopath/2007/PartnerControls"/>
    <xsd:element name="Product_x002f_Topic" ma:index="2" nillable="true" ma:displayName="Product / Topic" ma:format="Dropdown" ma:internalName="Product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 (ADV)"/>
                    <xsd:enumeration value="AIR (AIR)"/>
                    <xsd:enumeration value="Georgian Bars (GB)"/>
                    <xsd:enumeration value="Logli Massimo (LOGLI)"/>
                    <xsd:enumeration value="Services (SERV)"/>
                    <xsd:enumeration value="SWS and products (SWS)"/>
                    <xsd:enumeration value="ULTIMATE (ULT)"/>
                    <xsd:enumeration value="Case Studies (CASES)"/>
                    <xsd:enumeration value="Presentation"/>
                    <xsd:enumeration value="ULTIMATE-PRO (ULT-PRO)"/>
                    <xsd:enumeration value="Internal Document"/>
                  </xsd:restriction>
                </xsd:simpleType>
              </xsd:element>
            </xsd:sequence>
          </xsd:extension>
        </xsd:complexContent>
      </xsd:complexType>
    </xsd:element>
    <xsd:element name="Non_x002d_specific_x0028_NON_x0029_" ma:index="3" nillable="true" ma:displayName="Non-specific (NON)" ma:format="Dropdown" ma:internalName="Non_x002d_specific_x0028_NON_x0029_">
      <xsd:simpleType>
        <xsd:restriction base="dms:Choice">
          <xsd:enumeration value="BF Data sheets Windows Facades"/>
          <xsd:enumeration value="PHI certificate"/>
          <xsd:enumeration value="Product brochure"/>
          <xsd:enumeration value="DIBT approval"/>
          <xsd:enumeration value="Tender Spec Facades"/>
          <xsd:enumeration value="Tender spec"/>
          <xsd:enumeration value="CALUWIN"/>
          <xsd:enumeration value="Company and products"/>
          <xsd:enumeration value="Warm Edge"/>
          <xsd:enumeration value="Product brochure 36mm"/>
          <xsd:enumeration value="Tender Spec Windows"/>
          <xsd:enumeration value="Airplane Transport"/>
          <xsd:enumeration value="Sound and heat insulation"/>
          <xsd:enumeration value="Uw comparison"/>
          <xsd:enumeration value="Processing"/>
          <xsd:enumeration value="welding Processing"/>
          <xsd:enumeration value="manual Processing"/>
          <xsd:enumeration value="Installation manual"/>
          <xsd:enumeration value="shapes Processing"/>
          <xsd:enumeration value="bending Processing"/>
          <xsd:enumeration value="EPD"/>
          <xsd:enumeration value="Certification"/>
          <xsd:enumeration value="ECLAZ"/>
          <xsd:enumeration value="PHI brochure"/>
          <xsd:enumeration value="RAL Certification"/>
          <xsd:enumeration value="Green IGU"/>
          <xsd:enumeration value="Sustainability"/>
          <xsd:enumeration value="DTA"/>
          <xsd:enumeration value="QR"/>
          <xsd:enumeration value="Company presentation"/>
          <xsd:enumeration value="USA Product Overview"/>
          <xsd:enumeration value="Internal Leaflet"/>
        </xsd:restriction>
      </xsd:simpleType>
    </xsd:element>
    <xsd:element name="Target" ma:index="4" nillable="true" ma:displayName="Target" ma:format="Dropdown" ma:internalName="Target">
      <xsd:simpleType>
        <xsd:restriction base="dms:Choice">
          <xsd:enumeration value="Non-specific (NON)"/>
          <xsd:enumeration value="IGU Man. (IGU)"/>
          <xsd:enumeration value="Architect / Specifier (ARC)"/>
          <xsd:enumeration value="Homeowner (HO)"/>
          <xsd:enumeration value="Window Man. (WFM)"/>
        </xsd:restriction>
      </xsd:simpleType>
    </xsd:element>
    <xsd:element name="Language" ma:index="5" nillable="true" ma:displayName="Language" ma:format="Dropdown" ma:internalName="Language">
      <xsd:simpleType>
        <xsd:restriction base="dms:Choice">
          <xsd:enumeration value="DE"/>
          <xsd:enumeration value="EN"/>
          <xsd:enumeration value="CZ"/>
          <xsd:enumeration value="ES"/>
          <xsd:enumeration value="FR"/>
          <xsd:enumeration value="IT"/>
          <xsd:enumeration value="GR"/>
          <xsd:enumeration value="KO"/>
          <xsd:enumeration value="CN"/>
          <xsd:enumeration value="JP"/>
          <xsd:enumeration value="RO"/>
          <xsd:enumeration value="UA"/>
          <xsd:enumeration value="PL"/>
          <xsd:enumeration value="RU"/>
          <xsd:enumeration value="SK"/>
          <xsd:enumeration value="N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74ba-f2cf-4f40-894b-c83b3f4da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77a267-d7af-4f21-88c2-2f110ef42552}" ma:internalName="TaxCatchAll" ma:showField="CatchAllData" ma:web="363074ba-f2cf-4f40-894b-c83b3f4da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E8146-EA6C-441A-B0CA-023CDC38D0F3}">
  <ds:schemaRefs>
    <ds:schemaRef ds:uri="http://schemas.microsoft.com/office/2006/metadata/properties"/>
    <ds:schemaRef ds:uri="http://schemas.microsoft.com/office/infopath/2007/PartnerControls"/>
    <ds:schemaRef ds:uri="b948544a-0b2b-4353-8ff4-4d9434a9ad6b"/>
    <ds:schemaRef ds:uri="363074ba-f2cf-4f40-894b-c83b3f4da915"/>
  </ds:schemaRefs>
</ds:datastoreItem>
</file>

<file path=customXml/itemProps2.xml><?xml version="1.0" encoding="utf-8"?>
<ds:datastoreItem xmlns:ds="http://schemas.openxmlformats.org/officeDocument/2006/customXml" ds:itemID="{8953AB43-2457-457F-8B3A-B2AFF8CFA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2B991-446E-4D5E-A4FF-E6C6291C2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544a-0b2b-4353-8ff4-4d9434a9ad6b"/>
    <ds:schemaRef ds:uri="363074ba-f2cf-4f40-894b-c83b3f4da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2347</Characters>
  <Application>Microsoft Office Word</Application>
  <DocSecurity>0</DocSecurity>
  <Lines>19</Lines>
  <Paragraphs>5</Paragraphs>
  <ScaleCrop>false</ScaleCrop>
  <Company>SAINT-GOBAIN 1.1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Pankoke, Martina</dc:creator>
  <cp:keywords/>
  <dc:description/>
  <cp:lastModifiedBy>Guzikowska, Monika</cp:lastModifiedBy>
  <cp:revision>10</cp:revision>
  <dcterms:created xsi:type="dcterms:W3CDTF">2024-06-24T16:57:00Z</dcterms:created>
  <dcterms:modified xsi:type="dcterms:W3CDTF">2026-04-22T11:24:00Z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0x01010094E0AF6954538B4CBAE301DA56A52630</vt:lpwstr>
  </property>
  <property fmtid="{D5CDD505-2E9C-101B-9397-08002B2CF9AE}" pid="3" name="Typeofasset">
    <vt:lpwstr>Leaflet (Leaflet)</vt:lpwstr>
  </property>
  <property fmtid="{D5CDD505-2E9C-101B-9397-08002B2CF9AE}" pid="4" name="MediaServiceImageTags">
    <vt:lpwstr/>
  </property>
</Properties>
</file>