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Descripción del producto</w:t>
      </w:r>
    </w:p>
    <w:p w:rsidR="007E389C" w:rsidRPr="00EF0A98" w:rsidRDefault="00F460DE" w:rsidP="00EF0A98">
      <w:pPr>
        <w:rPr>
          <w:rStyle w:val="Fett"/>
        </w:rPr>
      </w:pPr>
      <w:r>
        <w:rPr>
          <w:rStyle w:val="Fett"/>
        </w:rPr>
        <w:t>SWISSPACER AIR para la compensación de presión permanente de unidades de vidrio aislante</w:t>
      </w:r>
    </w:p>
    <w:p w:rsidR="00F460DE" w:rsidRDefault="00F460DE" w:rsidP="00840B58">
      <w:pPr>
        <w:pStyle w:val="Aufzhlungszeichen"/>
        <w:numPr>
          <w:ilvl w:val="0"/>
          <w:numId w:val="1"/>
        </w:numPr>
        <w:spacing w:after="0"/>
      </w:pPr>
      <w:r>
        <w:t>Manguito metálico con una membrana especial integrada, diseñado para la compensación permanente de la presión en las unidades de vidrio aislante con el objetivo de poderlas transportar a lo largo de trayectos con diferencias de altitud y minimizar así la deformación de los cristales como consecuencia de las cargas climáticas.</w:t>
      </w:r>
    </w:p>
    <w:p w:rsidR="00920F0B" w:rsidRPr="00920F0B" w:rsidRDefault="00920F0B" w:rsidP="00920F0B">
      <w:pPr>
        <w:pStyle w:val="berschrift1"/>
      </w:pPr>
      <w:r>
        <w:t>Descripción de las prestaciones</w:t>
      </w:r>
    </w:p>
    <w:p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Se puede utilizar en unidades de vidrio aislante de conformidad con DIN EN 1279</w:t>
      </w:r>
    </w:p>
    <w:p w:rsidR="00F460DE" w:rsidRDefault="00422DCD" w:rsidP="00F460DE">
      <w:pPr>
        <w:pStyle w:val="Aufzhlungszeichen"/>
        <w:ind w:left="357" w:hanging="357"/>
      </w:pPr>
      <w:r>
        <w:t>El manguito metálico se instala en el sellado perimetral de la unidad de vidrio aislante y permite compensar la presión entre la cámara y el ambiente exterior.</w:t>
      </w:r>
    </w:p>
    <w:p w:rsidR="00F460DE" w:rsidRPr="00F460DE" w:rsidRDefault="00F460DE" w:rsidP="00F460DE">
      <w:pPr>
        <w:pStyle w:val="Aufzhlungszeichen"/>
        <w:ind w:left="357" w:hanging="357"/>
      </w:pPr>
      <w:r>
        <w:t>El cálculo de las propiedades y las dimensiones de la unidad de vidrio aislante se debe basar en el uso de aire como gas de relleno, dado que cualquier otro tipo de gas se volatilizaría rápidamente.</w:t>
      </w:r>
    </w:p>
    <w:p w:rsidR="00F460DE" w:rsidRDefault="00F460DE" w:rsidP="00F460DE">
      <w:pPr>
        <w:pStyle w:val="Aufzhlungszeichen"/>
        <w:ind w:left="357" w:hanging="357"/>
      </w:pPr>
      <w:r>
        <w:t xml:space="preserve">Su estructura especial impide que se acumule vapor de agua en el interior de la cámara, lo que daría lugar a la formación de agua condensada o dañaría las capas </w:t>
      </w:r>
      <w:proofErr w:type="spellStart"/>
      <w:r>
        <w:t>bajoemisivas</w:t>
      </w:r>
      <w:proofErr w:type="spellEnd"/>
      <w:r>
        <w:t xml:space="preserve"> metálicas.</w:t>
      </w:r>
    </w:p>
    <w:p w:rsidR="007E389C" w:rsidRPr="007E389C" w:rsidRDefault="00F460DE" w:rsidP="00513780">
      <w:pPr>
        <w:pStyle w:val="Fliesstext"/>
        <w:rPr>
          <w:rStyle w:val="Fett"/>
        </w:rPr>
      </w:pPr>
      <w:r>
        <w:rPr>
          <w:rStyle w:val="Fett"/>
        </w:rPr>
        <w:t>Funcionamiento de SWISSPACER AIR durante el transporte en trayectos con diferencias de altitud</w:t>
      </w:r>
    </w:p>
    <w:tbl>
      <w:tblPr>
        <w:tblStyle w:val="Tabellenraster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2"/>
      </w:tblGrid>
      <w:tr w:rsidR="00B05951" w:rsidTr="008A50DB">
        <w:trPr>
          <w:cantSplit/>
          <w:trHeight w:hRule="exact" w:val="4536"/>
        </w:trPr>
        <w:tc>
          <w:tcPr>
            <w:tcW w:w="9072" w:type="dxa"/>
          </w:tcPr>
          <w:p w:rsidR="00B05951" w:rsidRPr="000D0617" w:rsidRDefault="00B05951" w:rsidP="00806854">
            <w:pPr>
              <w:tabs>
                <w:tab w:val="left" w:pos="680"/>
              </w:tabs>
              <w:rPr>
                <w:lang w:val="fr-CH"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de-CH"/>
              </w:rPr>
              <w:drawing>
                <wp:inline distT="0" distB="0" distL="0" distR="0">
                  <wp:extent cx="6109424" cy="2752725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52" cy="2756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05951" w:rsidTr="00806854">
        <w:trPr>
          <w:cantSplit/>
          <w:trHeight w:hRule="exact" w:val="567"/>
        </w:trPr>
        <w:tc>
          <w:tcPr>
            <w:tcW w:w="9072" w:type="dxa"/>
          </w:tcPr>
          <w:p w:rsidR="00B05951" w:rsidRDefault="00B05951" w:rsidP="00806854">
            <w:pPr>
              <w:pStyle w:val="Fuzeile"/>
            </w:pPr>
            <w:r>
              <w:t>© SWISSPACER</w:t>
            </w:r>
          </w:p>
        </w:tc>
      </w:tr>
    </w:tbl>
    <w:p w:rsidR="00F02467" w:rsidRDefault="00F02467" w:rsidP="00F02467">
      <w:pPr>
        <w:pStyle w:val="Fliesstext"/>
        <w:rPr>
          <w:rStyle w:val="Fett"/>
        </w:rPr>
      </w:pPr>
      <w:r>
        <w:rPr>
          <w:rStyle w:val="Fett"/>
        </w:rPr>
        <w:t xml:space="preserve">SWISSPACER AIR está homologado por el </w:t>
      </w:r>
      <w:proofErr w:type="spellStart"/>
      <w:r>
        <w:rPr>
          <w:rStyle w:val="Fett"/>
        </w:rPr>
        <w:t>DIBt</w:t>
      </w:r>
      <w:proofErr w:type="spellEnd"/>
      <w:r>
        <w:rPr>
          <w:rStyle w:val="Fett"/>
        </w:rPr>
        <w:t xml:space="preserve"> (</w:t>
      </w:r>
      <w:proofErr w:type="spellStart"/>
      <w:r>
        <w:rPr>
          <w:rStyle w:val="Fett"/>
        </w:rPr>
        <w:t>Deutsches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Institut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für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Bautechnik</w:t>
      </w:r>
      <w:proofErr w:type="spellEnd"/>
      <w:r>
        <w:rPr>
          <w:rStyle w:val="Fett"/>
        </w:rPr>
        <w:t xml:space="preserve">) </w:t>
      </w:r>
    </w:p>
    <w:p w:rsidR="00F02467" w:rsidRPr="00F02467" w:rsidRDefault="00F02467" w:rsidP="00F02467">
      <w:pPr>
        <w:pStyle w:val="Aufzhlungszeichen"/>
        <w:ind w:left="357" w:hanging="357"/>
      </w:pPr>
      <w:r>
        <w:t>Homologación general de construcción/homologación general de tipo</w:t>
      </w:r>
      <w:r>
        <w:br/>
        <w:t>N.º Z-70.4-249 de 11 de marzo de 2019 para: Unidad de vidrio aislante no sometida a presión con la válvula de compensación de la presión Swisspacer Air (traducción del original en alemán)</w:t>
      </w:r>
    </w:p>
    <w:p w:rsidR="007E389C" w:rsidRPr="00FB00D4" w:rsidRDefault="00F02467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lastRenderedPageBreak/>
        <w:t>Producto complementario</w:t>
      </w:r>
    </w:p>
    <w:p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 xml:space="preserve">Perfil </w:t>
      </w:r>
      <w:proofErr w:type="spellStart"/>
      <w:r>
        <w:rPr>
          <w:rStyle w:val="Fett"/>
        </w:rPr>
        <w:t>intercalario</w:t>
      </w:r>
      <w:proofErr w:type="spellEnd"/>
      <w:r>
        <w:rPr>
          <w:rStyle w:val="Fett"/>
        </w:rPr>
        <w:t xml:space="preserve"> de borde caliente SWISSPACER </w:t>
      </w:r>
      <w:proofErr w:type="spellStart"/>
      <w:r>
        <w:rPr>
          <w:rStyle w:val="Fett"/>
        </w:rPr>
        <w:t>Advance</w:t>
      </w:r>
      <w:proofErr w:type="spellEnd"/>
    </w:p>
    <w:p w:rsidR="002D7921" w:rsidRDefault="002D7921" w:rsidP="00D34808">
      <w:pPr>
        <w:pStyle w:val="Aufzhlungszeichen"/>
      </w:pPr>
      <w:r>
        <w:t xml:space="preserve">Perfil </w:t>
      </w:r>
      <w:proofErr w:type="spellStart"/>
      <w:r>
        <w:t>intercalario</w:t>
      </w:r>
      <w:proofErr w:type="spellEnd"/>
      <w:r>
        <w:t xml:space="preserve"> de estireno </w:t>
      </w:r>
      <w:proofErr w:type="spellStart"/>
      <w:r>
        <w:t>acrilonitrilo</w:t>
      </w:r>
      <w:proofErr w:type="spellEnd"/>
      <w:r>
        <w:t xml:space="preserve"> con una proporción de un 35 % de fibra de vidrio y lámina de aluminio térmicamente mejorada.</w:t>
      </w:r>
    </w:p>
    <w:p w:rsidR="002D7921" w:rsidRPr="007E389C" w:rsidRDefault="002D7921" w:rsidP="00D34808">
      <w:pPr>
        <w:pStyle w:val="Aufzhlungszeichen"/>
        <w:rPr>
          <w:rStyle w:val="Fett"/>
        </w:rPr>
      </w:pPr>
      <w:r>
        <w:t xml:space="preserve">Conductividad térmica equivalente (de conformidad con la </w:t>
      </w:r>
      <w:proofErr w:type="spellStart"/>
      <w:r>
        <w:t>ift-Guideline</w:t>
      </w:r>
      <w:proofErr w:type="spellEnd"/>
      <w:r>
        <w:t xml:space="preserve"> WA-17/1): </w:t>
      </w:r>
      <w:r w:rsidR="008A50DB">
        <w:rPr>
          <w:rStyle w:val="Fett"/>
        </w:rPr>
        <w:t>λ </w:t>
      </w:r>
      <w:r>
        <w:rPr>
          <w:rStyle w:val="Fett"/>
        </w:rPr>
        <w:t>=</w:t>
      </w:r>
      <w:r w:rsidR="008A50DB">
        <w:rPr>
          <w:rStyle w:val="Fett"/>
        </w:rPr>
        <w:t> </w:t>
      </w:r>
      <w:r>
        <w:rPr>
          <w:rStyle w:val="Fett"/>
        </w:rPr>
        <w:t>0,290 W/</w:t>
      </w:r>
      <w:proofErr w:type="spellStart"/>
      <w:r>
        <w:rPr>
          <w:rStyle w:val="Fett"/>
        </w:rPr>
        <w:t>mK</w:t>
      </w:r>
      <w:proofErr w:type="spellEnd"/>
    </w:p>
    <w:p w:rsidR="00F02FAF" w:rsidRPr="00920F0B" w:rsidRDefault="002D7921" w:rsidP="00D34808">
      <w:pPr>
        <w:pStyle w:val="Aufzhlungszeichen"/>
        <w:rPr>
          <w:rFonts w:eastAsiaTheme="majorEastAsia" w:cstheme="majorBidi"/>
          <w:b/>
          <w:szCs w:val="32"/>
        </w:rPr>
      </w:pPr>
      <w:r>
        <w:rPr>
          <w:rStyle w:val="Fett"/>
        </w:rPr>
        <w:t>Disponible en un total de 17 colores similares a RAL</w:t>
      </w:r>
      <w:r>
        <w:rPr>
          <w:rStyle w:val="Fett"/>
        </w:rPr>
        <w:br/>
      </w:r>
      <w:proofErr w:type="spellStart"/>
      <w:r>
        <w:t>RAL</w:t>
      </w:r>
      <w:proofErr w:type="spellEnd"/>
      <w:r>
        <w:t xml:space="preserve"> 9023, 9005, 9016, 5003, 8003, 8014, 1016, 6018, 6026, 7013, 1011, 1034, 6010, 1015, 1001, 7035 o 8012</w:t>
      </w:r>
    </w:p>
    <w:p w:rsidR="00513780" w:rsidRPr="00FB00D4" w:rsidRDefault="00F02FAF" w:rsidP="00FB00D4">
      <w:pPr>
        <w:pStyle w:val="berschrift1"/>
      </w:pPr>
      <w:r>
        <w:t>Producto complementario</w:t>
      </w:r>
    </w:p>
    <w:p w:rsidR="00F02467" w:rsidRPr="0066703E" w:rsidRDefault="00422DCD" w:rsidP="00F02467">
      <w:pPr>
        <w:pStyle w:val="Fliesstext"/>
        <w:rPr>
          <w:rStyle w:val="Fett"/>
        </w:rPr>
      </w:pPr>
      <w:r>
        <w:rPr>
          <w:rStyle w:val="Fett"/>
        </w:rPr>
        <w:t xml:space="preserve">Perfil </w:t>
      </w:r>
      <w:proofErr w:type="spellStart"/>
      <w:r>
        <w:rPr>
          <w:rStyle w:val="Fett"/>
        </w:rPr>
        <w:t>intercalario</w:t>
      </w:r>
      <w:proofErr w:type="spellEnd"/>
      <w:r>
        <w:rPr>
          <w:rStyle w:val="Fett"/>
        </w:rPr>
        <w:t xml:space="preserve"> de borde caliente de alta gama SWISSPACER </w:t>
      </w:r>
      <w:proofErr w:type="spellStart"/>
      <w:r>
        <w:rPr>
          <w:rStyle w:val="Fett"/>
        </w:rPr>
        <w:t>Ultimate</w:t>
      </w:r>
      <w:proofErr w:type="spellEnd"/>
    </w:p>
    <w:p w:rsidR="00F02467" w:rsidRPr="00814E05" w:rsidRDefault="00F02467" w:rsidP="00F02467">
      <w:pPr>
        <w:pStyle w:val="Aufzhlungszeichen"/>
        <w:ind w:left="357" w:hanging="357"/>
      </w:pPr>
      <w:r>
        <w:t xml:space="preserve">Perfil </w:t>
      </w:r>
      <w:proofErr w:type="spellStart"/>
      <w:r>
        <w:t>intercalario</w:t>
      </w:r>
      <w:proofErr w:type="spellEnd"/>
      <w:r>
        <w:t xml:space="preserve"> de estireno </w:t>
      </w:r>
      <w:proofErr w:type="spellStart"/>
      <w:r>
        <w:t>acrilonitrilo</w:t>
      </w:r>
      <w:proofErr w:type="spellEnd"/>
      <w:r>
        <w:t xml:space="preserve"> con una proporción de un 35 % de fibra de vidrio y lámina de estanqueidad al gas de alta tecnología.</w:t>
      </w:r>
    </w:p>
    <w:p w:rsidR="00F02467" w:rsidRPr="00814E05" w:rsidRDefault="00F02467" w:rsidP="00F02467">
      <w:pPr>
        <w:pStyle w:val="Aufzhlungszeichen"/>
        <w:ind w:left="357" w:hanging="357"/>
      </w:pPr>
      <w:r>
        <w:t xml:space="preserve">Conductividad térmica equivalente (de conformidad con la </w:t>
      </w:r>
      <w:proofErr w:type="spellStart"/>
      <w:r>
        <w:t>ift-Guideline</w:t>
      </w:r>
      <w:proofErr w:type="spellEnd"/>
      <w:r>
        <w:t xml:space="preserve"> WA-17/1): </w:t>
      </w:r>
      <w:r>
        <w:rPr>
          <w:rStyle w:val="Fett"/>
        </w:rPr>
        <w:t>λ = 0,140 W/</w:t>
      </w:r>
      <w:proofErr w:type="spellStart"/>
      <w:r>
        <w:rPr>
          <w:rStyle w:val="Fett"/>
        </w:rPr>
        <w:t>mK</w:t>
      </w:r>
      <w:proofErr w:type="spellEnd"/>
    </w:p>
    <w:p w:rsidR="00F02467" w:rsidRPr="007E389C" w:rsidRDefault="00F02467" w:rsidP="00F02467">
      <w:pPr>
        <w:pStyle w:val="Aufzhlungszeichen"/>
        <w:ind w:left="357" w:hanging="357"/>
      </w:pPr>
      <w:r>
        <w:rPr>
          <w:rStyle w:val="Fett"/>
        </w:rPr>
        <w:t>Disponible en un total de 17 colores similares a RAL</w:t>
      </w:r>
      <w:r>
        <w:br/>
      </w:r>
      <w:proofErr w:type="spellStart"/>
      <w:r>
        <w:t>RAL</w:t>
      </w:r>
      <w:proofErr w:type="spellEnd"/>
      <w:r>
        <w:t>: 9023, 9005, 9016, 5003, 8003, 8014, 1016, 6018, 6026, 7013, 1011, 1034, 6010, 1015, 1001, 7035 o 8012</w:t>
      </w:r>
    </w:p>
    <w:p w:rsidR="007E389C" w:rsidRPr="00EF0A98" w:rsidRDefault="007E389C" w:rsidP="00FB00D4">
      <w:pPr>
        <w:pStyle w:val="berschrift1"/>
      </w:pPr>
      <w:r>
        <w:t>Fabricante</w:t>
      </w:r>
    </w:p>
    <w:p w:rsidR="007E389C" w:rsidRPr="00EF0A98" w:rsidRDefault="007E389C" w:rsidP="00513780">
      <w:pPr>
        <w:pStyle w:val="Fliesstext"/>
      </w:pPr>
      <w:r>
        <w:t xml:space="preserve">SWISSPACER Vetrotech Saint-Gobain International AG </w:t>
      </w:r>
      <w:r>
        <w:br/>
      </w:r>
      <w:proofErr w:type="spellStart"/>
      <w:r>
        <w:t>Sonnenwiesenstrasse</w:t>
      </w:r>
      <w:proofErr w:type="spellEnd"/>
      <w:r>
        <w:t xml:space="preserve"> 15 | 8280 Kreuzlingen, Suiza</w:t>
      </w:r>
      <w:r>
        <w:br/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9C" w:rsidRPr="00513780" w:rsidRDefault="007E389C" w:rsidP="000D0617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4058285</wp:posOffset>
          </wp:positionH>
          <wp:positionV relativeFrom="paragraph">
            <wp:posOffset>-231140</wp:posOffset>
          </wp:positionV>
          <wp:extent cx="1698625" cy="586740"/>
          <wp:effectExtent l="0" t="0" r="0" b="3810"/>
          <wp:wrapTight wrapText="bothSides">
            <wp:wrapPolygon edited="0">
              <wp:start x="0" y="0"/>
              <wp:lineTo x="0" y="21039"/>
              <wp:lineTo x="21317" y="21039"/>
              <wp:lineTo x="2131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Pliego de condiciones técnicas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8A5B74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15A67"/>
    <w:rsid w:val="000D0617"/>
    <w:rsid w:val="000D5308"/>
    <w:rsid w:val="001A5378"/>
    <w:rsid w:val="001C2FC3"/>
    <w:rsid w:val="00206AAF"/>
    <w:rsid w:val="00234569"/>
    <w:rsid w:val="00235DFF"/>
    <w:rsid w:val="002428A9"/>
    <w:rsid w:val="00284F3A"/>
    <w:rsid w:val="002D7921"/>
    <w:rsid w:val="0035241B"/>
    <w:rsid w:val="003E2CA1"/>
    <w:rsid w:val="00422DCD"/>
    <w:rsid w:val="004266B2"/>
    <w:rsid w:val="00453A11"/>
    <w:rsid w:val="004559D7"/>
    <w:rsid w:val="004850FC"/>
    <w:rsid w:val="004F3C6E"/>
    <w:rsid w:val="00513780"/>
    <w:rsid w:val="0051495F"/>
    <w:rsid w:val="005225A1"/>
    <w:rsid w:val="005A3316"/>
    <w:rsid w:val="005D45F0"/>
    <w:rsid w:val="0060563C"/>
    <w:rsid w:val="0066703E"/>
    <w:rsid w:val="007602B5"/>
    <w:rsid w:val="007E389C"/>
    <w:rsid w:val="00814E05"/>
    <w:rsid w:val="00865006"/>
    <w:rsid w:val="00891276"/>
    <w:rsid w:val="008A50DB"/>
    <w:rsid w:val="008C3D01"/>
    <w:rsid w:val="00920F0B"/>
    <w:rsid w:val="009A1C1B"/>
    <w:rsid w:val="009B0BB7"/>
    <w:rsid w:val="009E0530"/>
    <w:rsid w:val="00A37B9F"/>
    <w:rsid w:val="00A67EA1"/>
    <w:rsid w:val="00AE17ED"/>
    <w:rsid w:val="00AF6D72"/>
    <w:rsid w:val="00B05951"/>
    <w:rsid w:val="00B416EE"/>
    <w:rsid w:val="00CF46E4"/>
    <w:rsid w:val="00D34808"/>
    <w:rsid w:val="00DC3303"/>
    <w:rsid w:val="00DE6400"/>
    <w:rsid w:val="00DF2AF4"/>
    <w:rsid w:val="00EF0A98"/>
    <w:rsid w:val="00F02467"/>
    <w:rsid w:val="00F02FAF"/>
    <w:rsid w:val="00F460DE"/>
    <w:rsid w:val="00F62201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s-ES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0D0617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0D0617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D34808"/>
    <w:pPr>
      <w:keepLines/>
      <w:numPr>
        <w:numId w:val="2"/>
      </w:numPr>
      <w:spacing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s-E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05951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Gurtner, Yannick</cp:lastModifiedBy>
  <cp:revision>3</cp:revision>
  <dcterms:created xsi:type="dcterms:W3CDTF">2021-06-02T07:50:00Z</dcterms:created>
  <dcterms:modified xsi:type="dcterms:W3CDTF">2022-02-09T10:04:00Z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2022-02-09T10:04:08Z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8048bf62-ba45-4bc5-a421-443922d0ab96</vt:lpwstr>
  </property>
  <property fmtid="{D5CDD505-2E9C-101B-9397-08002B2CF9AE}" pid="8" name="MSIP_Label_ced06422-c515-4a4e-a1f2-e6a0c0200eae_ContentBits">
    <vt:lpwstr>0</vt:lpwstr>
  </property>
</Properties>
</file>