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BC24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Product description</w:t>
      </w:r>
    </w:p>
    <w:p w14:paraId="721A7EB3" w14:textId="7ED8EA6F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>Warm edge spacer S</w:t>
      </w:r>
      <w:r w:rsidR="00031DE3">
        <w:rPr>
          <w:rStyle w:val="Strong"/>
        </w:rPr>
        <w:t>wisspacer</w:t>
      </w:r>
      <w:r>
        <w:rPr>
          <w:rStyle w:val="Strong"/>
        </w:rPr>
        <w:t xml:space="preserve"> Ultimate</w:t>
      </w:r>
    </w:p>
    <w:p w14:paraId="7D7BA01F" w14:textId="2E0FEAA0" w:rsidR="00DF2AF4" w:rsidRPr="00920F0B" w:rsidRDefault="0048367C" w:rsidP="00920F0B">
      <w:pPr>
        <w:pStyle w:val="ListBullet"/>
      </w:pPr>
      <w:r>
        <w:t>Polymer SAN</w:t>
      </w:r>
      <w:r w:rsidR="00DF2AF4">
        <w:t xml:space="preserve"> spacer with glass fibre </w:t>
      </w:r>
      <w:r w:rsidR="639C473B">
        <w:t xml:space="preserve">(reinforced) </w:t>
      </w:r>
      <w:r w:rsidR="00DF2AF4">
        <w:t>content and high-tech gas barrier foil</w:t>
      </w:r>
    </w:p>
    <w:p w14:paraId="0ABAB249" w14:textId="77777777" w:rsidR="00DF2AF4" w:rsidRPr="00920F0B" w:rsidRDefault="00DF2AF4" w:rsidP="00920F0B">
      <w:pPr>
        <w:pStyle w:val="ListBullet"/>
      </w:pPr>
      <w:r>
        <w:t>Equivalent thermal conductivity (in accordance</w:t>
      </w:r>
      <w:r w:rsidR="00E23FB9">
        <w:t xml:space="preserve"> with ift guideline WA-17/1): </w:t>
      </w:r>
      <w:r w:rsidR="00E23FB9" w:rsidRPr="00BD4531">
        <w:rPr>
          <w:rStyle w:val="Strong"/>
        </w:rPr>
        <w:t>λ = </w:t>
      </w:r>
      <w:r w:rsidRPr="00BD4531">
        <w:rPr>
          <w:rStyle w:val="Strong"/>
        </w:rPr>
        <w:t>0.14 W/mK</w:t>
      </w:r>
    </w:p>
    <w:p w14:paraId="37565916" w14:textId="77777777" w:rsidR="00DF2AF4" w:rsidRPr="00920F0B" w:rsidRDefault="00DF2AF4" w:rsidP="00920F0B">
      <w:pPr>
        <w:pStyle w:val="ListBullet"/>
      </w:pPr>
      <w:r w:rsidRPr="00BD4531">
        <w:rPr>
          <w:rStyle w:val="Strong"/>
        </w:rPr>
        <w:t>Available in</w:t>
      </w:r>
      <w:r w:rsidR="00BD4531" w:rsidRPr="00BD4531">
        <w:rPr>
          <w:rStyle w:val="Strong"/>
        </w:rPr>
        <w:t xml:space="preserve"> a total of 17 RAL-like colours</w:t>
      </w:r>
      <w:r>
        <w:br/>
        <w:t>RAL: 9023, 9005, 9016, 5003, 8003, 8014, 1016, 6018, 6026, 7013, 1011, 1034, 6010, 1015, 1001, 7035 or 8012</w:t>
      </w:r>
    </w:p>
    <w:p w14:paraId="06A46E2C" w14:textId="77777777" w:rsidR="00920F0B" w:rsidRPr="00920F0B" w:rsidRDefault="00920F0B" w:rsidP="00920F0B">
      <w:pPr>
        <w:pStyle w:val="Heading1"/>
      </w:pPr>
      <w:r>
        <w:t>Performance description</w:t>
      </w:r>
    </w:p>
    <w:p w14:paraId="6D2344E8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Can be used in multi-pane insulating glass units in accordance with DIN EN 1279</w:t>
      </w:r>
    </w:p>
    <w:p w14:paraId="7D175796" w14:textId="2EBD784F" w:rsidR="00891276" w:rsidRPr="00920F0B" w:rsidRDefault="007E389C" w:rsidP="00920F0B">
      <w:pPr>
        <w:pStyle w:val="ListBullet"/>
      </w:pPr>
      <w:r>
        <w:t xml:space="preserve">Example structures of multi-pane insulating glass units with </w:t>
      </w:r>
      <w:r w:rsidR="00031DE3">
        <w:t xml:space="preserve">Swisspacer </w:t>
      </w:r>
      <w:r>
        <w:t>Ultimate:</w:t>
      </w:r>
    </w:p>
    <w:p w14:paraId="0388177F" w14:textId="2470656A" w:rsidR="007E389C" w:rsidRPr="00891276" w:rsidRDefault="00B81A9D" w:rsidP="00865006">
      <w:pPr>
        <w:pStyle w:val="ListBullet2"/>
      </w:pPr>
      <w:r>
        <w:t>Double-sheet insulating glass (6 – 16 Ar – 6</w:t>
      </w:r>
      <w:r w:rsidR="007E389C">
        <w:t>): U</w:t>
      </w:r>
      <w:r w:rsidR="007E389C">
        <w:rPr>
          <w:vertAlign w:val="subscript"/>
        </w:rPr>
        <w:t>g</w:t>
      </w:r>
      <w:r w:rsidR="007E389C">
        <w:t xml:space="preserve"> = 1.1 W/m²K </w:t>
      </w:r>
    </w:p>
    <w:p w14:paraId="16FA1C4F" w14:textId="77A59A6F" w:rsidR="007E389C" w:rsidRDefault="00B81A9D" w:rsidP="00865006">
      <w:pPr>
        <w:pStyle w:val="ListBullet2"/>
      </w:pPr>
      <w:r>
        <w:t>Triple-sheet insulating glass (6</w:t>
      </w:r>
      <w:r w:rsidR="007E389C">
        <w:t> – 12 Ar – 4 – 12 </w:t>
      </w:r>
      <w:r>
        <w:t>Ar – 6</w:t>
      </w:r>
      <w:r w:rsidR="007E389C">
        <w:t>): U</w:t>
      </w:r>
      <w:r w:rsidR="007E389C">
        <w:rPr>
          <w:vertAlign w:val="subscript"/>
        </w:rPr>
        <w:t>g</w:t>
      </w:r>
      <w:r w:rsidR="007E389C">
        <w:t xml:space="preserve"> = 0.7 W/m²K </w:t>
      </w:r>
    </w:p>
    <w:p w14:paraId="29AD47BB" w14:textId="77777777" w:rsidR="00785C1C" w:rsidRPr="007E389C" w:rsidRDefault="00785C1C" w:rsidP="00785C1C">
      <w:pPr>
        <w:pStyle w:val="ListBullet2"/>
        <w:numPr>
          <w:ilvl w:val="0"/>
          <w:numId w:val="0"/>
        </w:numPr>
        <w:ind w:left="641"/>
      </w:pPr>
    </w:p>
    <w:p w14:paraId="141CCCE2" w14:textId="399D476B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 xml:space="preserve">Physical values or Psi values (W/mK) for multi-pane insulating glass units with </w:t>
      </w:r>
      <w:r w:rsidR="00031DE3">
        <w:rPr>
          <w:rStyle w:val="Strong"/>
        </w:rPr>
        <w:t xml:space="preserve">Swisspacer </w:t>
      </w:r>
      <w:r w:rsidR="00D54B28">
        <w:rPr>
          <w:rStyle w:val="Strong"/>
        </w:rPr>
        <w:t>Ultimate</w:t>
      </w:r>
      <w:r>
        <w:rPr>
          <w:rStyle w:val="Strong"/>
        </w:rPr>
        <w:t xml:space="preserve"> depending on the façade profiles</w:t>
      </w:r>
    </w:p>
    <w:p w14:paraId="2FECA6D6" w14:textId="77777777" w:rsidR="007F1A4F" w:rsidRDefault="007E389C" w:rsidP="00031DE3">
      <w:pPr>
        <w:pStyle w:val="ListBullet"/>
      </w:pPr>
      <w:r>
        <w:t>Representative linear thermal conductivity coefficients (representative Psi values) as defined in ifa guideline WA-22/1 “Thermally improved spacers – Part 3: Determination of the representative Psi value for façade profiles”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5379DFEB" w14:textId="77777777" w:rsidTr="00441070">
        <w:trPr>
          <w:cantSplit/>
          <w:trHeight w:hRule="exact" w:val="5103"/>
        </w:trPr>
        <w:tc>
          <w:tcPr>
            <w:tcW w:w="9072" w:type="dxa"/>
          </w:tcPr>
          <w:p w14:paraId="24C92414" w14:textId="77777777" w:rsidR="0066703E" w:rsidRPr="004266B2" w:rsidRDefault="00A11ABA" w:rsidP="00513780"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8240" behindDoc="0" locked="0" layoutInCell="1" allowOverlap="1" wp14:anchorId="76BF55C0" wp14:editId="57A7FAA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247650</wp:posOffset>
                  </wp:positionV>
                  <wp:extent cx="5585460" cy="2894965"/>
                  <wp:effectExtent l="0" t="0" r="0" b="635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_SWISSPACER_Advance_Datenblatt_BF_Fassaden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460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:rsidRPr="00FD5AD8" w14:paraId="2595D171" w14:textId="77777777" w:rsidTr="00F9268B">
        <w:trPr>
          <w:cantSplit/>
          <w:trHeight w:hRule="exact" w:val="851"/>
        </w:trPr>
        <w:tc>
          <w:tcPr>
            <w:tcW w:w="9072" w:type="dxa"/>
          </w:tcPr>
          <w:p w14:paraId="05900D3F" w14:textId="7DF4E6A0" w:rsidR="00206AAF" w:rsidRPr="00E23FB9" w:rsidRDefault="0066703E" w:rsidP="00206AAF">
            <w:pPr>
              <w:pStyle w:val="Footer"/>
              <w:rPr>
                <w:lang w:val="de-DE"/>
              </w:rPr>
            </w:pPr>
            <w:r>
              <w:t>Extract from datasheet Psi values façade profiles (</w:t>
            </w:r>
            <w:r w:rsidR="00802C51" w:rsidRPr="00802C51">
              <w:t xml:space="preserve">May 2016 – No. </w:t>
            </w:r>
            <w:r w:rsidR="00802C51" w:rsidRPr="00D54B28">
              <w:rPr>
                <w:lang w:val="de-CH"/>
              </w:rPr>
              <w:t xml:space="preserve">CW19 – Revision index </w:t>
            </w:r>
            <w:r w:rsidR="00FD5AD8">
              <w:rPr>
                <w:lang w:val="de-CH"/>
              </w:rPr>
              <w:t>4</w:t>
            </w:r>
            <w:r w:rsidR="00802C51" w:rsidRPr="00D54B28">
              <w:rPr>
                <w:lang w:val="de-CH"/>
              </w:rPr>
              <w:t>-06/202</w:t>
            </w:r>
            <w:r w:rsidR="00FD5AD8">
              <w:rPr>
                <w:lang w:val="de-CH"/>
              </w:rPr>
              <w:t>3</w:t>
            </w:r>
            <w:r w:rsidR="00802C51" w:rsidRPr="00D54B28">
              <w:rPr>
                <w:lang w:val="de-CH"/>
              </w:rPr>
              <w:t xml:space="preserve"> – valid until June 30th, 202</w:t>
            </w:r>
            <w:r w:rsidR="00FD5AD8">
              <w:rPr>
                <w:lang w:val="de-CH"/>
              </w:rPr>
              <w:t>5</w:t>
            </w:r>
            <w:r w:rsidRPr="00E23FB9">
              <w:rPr>
                <w:lang w:val="de-DE"/>
              </w:rPr>
              <w:t>)</w:t>
            </w:r>
          </w:p>
          <w:p w14:paraId="0258D952" w14:textId="77777777" w:rsidR="0066703E" w:rsidRPr="0013101B" w:rsidRDefault="00206AAF" w:rsidP="00206AAF">
            <w:pPr>
              <w:pStyle w:val="Footer"/>
              <w:rPr>
                <w:lang w:val="de-DE"/>
              </w:rPr>
            </w:pPr>
            <w:r w:rsidRPr="0013101B">
              <w:rPr>
                <w:lang w:val="de-DE"/>
              </w:rPr>
              <w:t>©</w:t>
            </w:r>
            <w:r w:rsidR="002E226C">
              <w:rPr>
                <w:lang w:val="de-DE"/>
              </w:rPr>
              <w:t xml:space="preserve"> </w:t>
            </w:r>
            <w:r w:rsidRPr="0013101B">
              <w:rPr>
                <w:lang w:val="de-DE"/>
              </w:rPr>
              <w:t>Arbeitskreis Warme Kante / BF Bundesverband Flachglas</w:t>
            </w:r>
          </w:p>
        </w:tc>
      </w:tr>
    </w:tbl>
    <w:p w14:paraId="7F90ADCC" w14:textId="77777777" w:rsidR="00441070" w:rsidRPr="0013101B" w:rsidRDefault="00441070" w:rsidP="00441070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  <w:lang w:val="de-DE"/>
        </w:rPr>
      </w:pPr>
      <w:r w:rsidRPr="0013101B">
        <w:rPr>
          <w:lang w:val="de-DE"/>
        </w:rPr>
        <w:br w:type="page"/>
      </w:r>
    </w:p>
    <w:p w14:paraId="6C686278" w14:textId="77777777" w:rsidR="007E389C" w:rsidRPr="00441070" w:rsidRDefault="007E389C" w:rsidP="00441070">
      <w:pPr>
        <w:pStyle w:val="Heading1"/>
        <w:ind w:left="431" w:hanging="431"/>
      </w:pPr>
      <w:r>
        <w:lastRenderedPageBreak/>
        <w:t>Product alternative</w:t>
      </w:r>
    </w:p>
    <w:p w14:paraId="7B967D11" w14:textId="0F2E66E8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 xml:space="preserve">Warm edge spacer </w:t>
      </w:r>
      <w:r w:rsidR="00031DE3">
        <w:rPr>
          <w:rStyle w:val="Strong"/>
        </w:rPr>
        <w:t xml:space="preserve">Swisspacer </w:t>
      </w:r>
      <w:r>
        <w:rPr>
          <w:rStyle w:val="Strong"/>
        </w:rPr>
        <w:t>Advance</w:t>
      </w:r>
    </w:p>
    <w:p w14:paraId="5748EF88" w14:textId="093D791E" w:rsidR="002D7921" w:rsidRDefault="0048367C" w:rsidP="00920F0B">
      <w:pPr>
        <w:pStyle w:val="ListBullet"/>
      </w:pPr>
      <w:r>
        <w:t>Polymer SAN</w:t>
      </w:r>
      <w:r w:rsidR="002D7921">
        <w:t xml:space="preserve"> spacer with glass fibre</w:t>
      </w:r>
      <w:r w:rsidR="6199F5C9">
        <w:t xml:space="preserve"> (reinforced)</w:t>
      </w:r>
      <w:r w:rsidR="002D7921">
        <w:t xml:space="preserve"> content and thermally improved aluminium foil</w:t>
      </w:r>
    </w:p>
    <w:p w14:paraId="241A2613" w14:textId="77777777" w:rsidR="002D7921" w:rsidRPr="007E389C" w:rsidRDefault="002D7921" w:rsidP="00920F0B">
      <w:pPr>
        <w:pStyle w:val="ListBullet"/>
        <w:rPr>
          <w:rStyle w:val="Strong"/>
        </w:rPr>
      </w:pPr>
      <w:r>
        <w:t xml:space="preserve">Equivalent thermal conductivity (in accordance with ift guideline WA-17/1): </w:t>
      </w:r>
      <w:r w:rsidR="00E23FB9">
        <w:rPr>
          <w:rStyle w:val="Strong"/>
        </w:rPr>
        <w:t>λ = </w:t>
      </w:r>
      <w:r w:rsidR="0048367C">
        <w:rPr>
          <w:rStyle w:val="Strong"/>
        </w:rPr>
        <w:t>0.29 </w:t>
      </w:r>
      <w:r>
        <w:rPr>
          <w:rStyle w:val="Strong"/>
        </w:rPr>
        <w:t>W/mK</w:t>
      </w:r>
    </w:p>
    <w:p w14:paraId="1A336F70" w14:textId="77777777" w:rsidR="00F02FAF" w:rsidRPr="00920F0B" w:rsidRDefault="002D7921" w:rsidP="00920F0B">
      <w:pPr>
        <w:pStyle w:val="ListBullet"/>
        <w:rPr>
          <w:rFonts w:eastAsiaTheme="majorEastAsia" w:cstheme="majorBidi"/>
          <w:b/>
          <w:szCs w:val="32"/>
        </w:rPr>
      </w:pPr>
      <w:r>
        <w:rPr>
          <w:rStyle w:val="Strong"/>
        </w:rPr>
        <w:t>Available in a total of 17 RAL-like colours</w:t>
      </w:r>
      <w:r>
        <w:rPr>
          <w:rStyle w:val="Strong"/>
        </w:rPr>
        <w:br/>
      </w:r>
      <w:r>
        <w:t>RAL 9023, 9005, 9016, 5003, 8003, 8014, 1016, 6018, 6026, 7013, 1011, 1034, 6010, 1015, 1001, 7035 or 8012</w:t>
      </w:r>
    </w:p>
    <w:p w14:paraId="4246C892" w14:textId="77777777" w:rsidR="00513780" w:rsidRPr="00FB00D4" w:rsidRDefault="00635CC7" w:rsidP="00635CC7">
      <w:pPr>
        <w:pStyle w:val="Heading1"/>
      </w:pPr>
      <w:r w:rsidRPr="00635CC7">
        <w:t xml:space="preserve">Complementary </w:t>
      </w:r>
      <w:r>
        <w:t>product</w:t>
      </w:r>
    </w:p>
    <w:p w14:paraId="30895B50" w14:textId="4FDC3D7B" w:rsidR="00513780" w:rsidRPr="00FB00D4" w:rsidRDefault="00031DE3" w:rsidP="00FB00D4">
      <w:pPr>
        <w:rPr>
          <w:rStyle w:val="Strong"/>
        </w:rPr>
      </w:pPr>
      <w:r>
        <w:rPr>
          <w:rStyle w:val="Strong"/>
        </w:rPr>
        <w:t xml:space="preserve">Swisspacer Air </w:t>
      </w:r>
      <w:r w:rsidR="00513780">
        <w:rPr>
          <w:rStyle w:val="Strong"/>
        </w:rPr>
        <w:t>for the permanent pressure equalisation of insulating</w:t>
      </w:r>
      <w:r w:rsidR="00BD4531">
        <w:rPr>
          <w:rStyle w:val="Strong"/>
        </w:rPr>
        <w:t> </w:t>
      </w:r>
      <w:r w:rsidR="00513780">
        <w:rPr>
          <w:rStyle w:val="Strong"/>
        </w:rPr>
        <w:t>glass</w:t>
      </w:r>
      <w:r w:rsidR="00BD4531">
        <w:rPr>
          <w:rStyle w:val="Strong"/>
        </w:rPr>
        <w:t> </w:t>
      </w:r>
      <w:r w:rsidR="00513780">
        <w:rPr>
          <w:rStyle w:val="Strong"/>
        </w:rPr>
        <w:t>units</w:t>
      </w:r>
    </w:p>
    <w:p w14:paraId="2080D079" w14:textId="380F11FF" w:rsidR="00513780" w:rsidRDefault="00513780" w:rsidP="00635CC7">
      <w:pPr>
        <w:pStyle w:val="ListBullet"/>
      </w:pPr>
      <w:r>
        <w:t xml:space="preserve">The </w:t>
      </w:r>
      <w:r w:rsidR="00031DE3">
        <w:t xml:space="preserve">Swisspacer Air </w:t>
      </w:r>
      <w:r>
        <w:t xml:space="preserve">is a metal sleeve with an integrated special membrane. </w:t>
      </w:r>
      <w:r w:rsidR="00031DE3">
        <w:t>Swisspacer Air</w:t>
      </w:r>
      <w:r>
        <w:t xml:space="preserve"> was developed as a permanent pressure equaliser in order to be able to transport multi-pane insulating glass u</w:t>
      </w:r>
      <w:r w:rsidR="00635CC7">
        <w:t xml:space="preserve">nits over differences in height </w:t>
      </w:r>
      <w:r w:rsidR="00635CC7" w:rsidRPr="00635CC7">
        <w:t>and to minimize the distortions of the glass panes due to the climatic loads</w:t>
      </w:r>
      <w:r w:rsidR="00635CC7">
        <w:t>.</w:t>
      </w:r>
    </w:p>
    <w:p w14:paraId="08CA8595" w14:textId="77777777" w:rsidR="00BD4531" w:rsidRDefault="00BD4531" w:rsidP="00031DE3">
      <w:pPr>
        <w:pStyle w:val="ListBullet"/>
      </w:pPr>
      <w:r>
        <w:t xml:space="preserve">Technical </w:t>
      </w:r>
      <w:r w:rsidR="002F6048">
        <w:t>A</w:t>
      </w:r>
      <w:r>
        <w:t>pproval (DIBt) No. Z-70.4-249 of 11 March 2019 for: Pressure</w:t>
      </w:r>
      <w:r>
        <w:noBreakHyphen/>
        <w:t>equalising multi-pane insulating glass units with Swisspacer Air pressure relief valve</w:t>
      </w:r>
    </w:p>
    <w:p w14:paraId="5C734D84" w14:textId="77777777" w:rsidR="007E389C" w:rsidRPr="00EF0A98" w:rsidRDefault="007E389C" w:rsidP="00FB00D4">
      <w:pPr>
        <w:pStyle w:val="Heading1"/>
      </w:pPr>
      <w:r>
        <w:t>Manufacturer</w:t>
      </w:r>
    </w:p>
    <w:p w14:paraId="2469E103" w14:textId="32520016" w:rsidR="235379B9" w:rsidRDefault="235379B9" w:rsidP="52FE962B">
      <w:pPr>
        <w:pStyle w:val="Fliesstext"/>
        <w:rPr>
          <w:lang w:val="de-DE"/>
        </w:rPr>
      </w:pPr>
      <w:r w:rsidRPr="52FE962B">
        <w:rPr>
          <w:rFonts w:eastAsia="Verdana" w:cs="Verdana"/>
          <w:color w:val="000000"/>
          <w:lang w:val="en-US"/>
        </w:rPr>
        <w:t>Swisspacer Vetrotech Saint-Gobain (International) AG</w:t>
      </w:r>
      <w:r>
        <w:br/>
      </w:r>
      <w:r w:rsidRPr="52FE962B">
        <w:rPr>
          <w:rFonts w:eastAsia="Verdana" w:cs="Verdana"/>
          <w:color w:val="000000"/>
          <w:lang w:val="fr-CH"/>
        </w:rPr>
        <w:t>Zweigniederlassung Lengwil, Industriestrasse 8, 8574 Lengwil, Switzerland</w:t>
      </w:r>
      <w:r>
        <w:br/>
      </w:r>
      <w:r w:rsidRPr="52FE962B">
        <w:rPr>
          <w:rFonts w:eastAsia="Verdana" w:cs="Verdana"/>
          <w:color w:val="000000"/>
          <w:lang w:val="de-DE"/>
        </w:rPr>
        <w:t>www.swisspacer.com; info@swisspacer.com</w:t>
      </w:r>
    </w:p>
    <w:p w14:paraId="338AF6D0" w14:textId="3B4D8095" w:rsidR="52FE962B" w:rsidRDefault="52FE962B" w:rsidP="52FE962B">
      <w:pPr>
        <w:pStyle w:val="Fliesstext"/>
        <w:rPr>
          <w:lang w:val="de-DE"/>
        </w:rPr>
      </w:pPr>
    </w:p>
    <w:sectPr w:rsidR="52FE962B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33AD" w14:textId="77777777" w:rsidR="00C92C2E" w:rsidRDefault="00C92C2E" w:rsidP="007E389C">
      <w:pPr>
        <w:spacing w:after="0" w:line="240" w:lineRule="auto"/>
      </w:pPr>
      <w:r>
        <w:separator/>
      </w:r>
    </w:p>
  </w:endnote>
  <w:endnote w:type="continuationSeparator" w:id="0">
    <w:p w14:paraId="599FA417" w14:textId="77777777" w:rsidR="00C92C2E" w:rsidRDefault="00C92C2E" w:rsidP="007E389C">
      <w:pPr>
        <w:spacing w:after="0" w:line="240" w:lineRule="auto"/>
      </w:pPr>
      <w:r>
        <w:continuationSeparator/>
      </w:r>
    </w:p>
  </w:endnote>
  <w:endnote w:type="continuationNotice" w:id="1">
    <w:p w14:paraId="730CA050" w14:textId="77777777" w:rsidR="00C92C2E" w:rsidRDefault="00C92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A078" w14:textId="77777777" w:rsidR="00834072" w:rsidRDefault="00834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0F50802" w14:paraId="45E5644F" w14:textId="77777777" w:rsidTr="50F50802">
      <w:trPr>
        <w:trHeight w:val="300"/>
      </w:trPr>
      <w:tc>
        <w:tcPr>
          <w:tcW w:w="3115" w:type="dxa"/>
        </w:tcPr>
        <w:p w14:paraId="12DBFD26" w14:textId="5CEBF217" w:rsidR="50F50802" w:rsidRDefault="50F50802" w:rsidP="50F50802">
          <w:pPr>
            <w:pStyle w:val="Header"/>
            <w:ind w:left="-115"/>
          </w:pPr>
        </w:p>
      </w:tc>
      <w:tc>
        <w:tcPr>
          <w:tcW w:w="3115" w:type="dxa"/>
        </w:tcPr>
        <w:p w14:paraId="77E469A8" w14:textId="3D3A4AE9" w:rsidR="50F50802" w:rsidRDefault="50F50802" w:rsidP="50F50802">
          <w:pPr>
            <w:pStyle w:val="Header"/>
            <w:jc w:val="center"/>
          </w:pPr>
        </w:p>
      </w:tc>
      <w:tc>
        <w:tcPr>
          <w:tcW w:w="3115" w:type="dxa"/>
        </w:tcPr>
        <w:p w14:paraId="35FD54DB" w14:textId="46920D2C" w:rsidR="50F50802" w:rsidRDefault="50F50802" w:rsidP="50F50802">
          <w:pPr>
            <w:pStyle w:val="Header"/>
            <w:ind w:right="-115"/>
            <w:jc w:val="right"/>
          </w:pPr>
        </w:p>
      </w:tc>
    </w:tr>
  </w:tbl>
  <w:p w14:paraId="66F8D3B1" w14:textId="156BDC17" w:rsidR="50F50802" w:rsidRDefault="50F50802" w:rsidP="50F50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08B4" w14:textId="77777777" w:rsidR="00834072" w:rsidRDefault="00834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C5E8" w14:textId="77777777" w:rsidR="00C92C2E" w:rsidRDefault="00C92C2E" w:rsidP="007E389C">
      <w:pPr>
        <w:spacing w:after="0" w:line="240" w:lineRule="auto"/>
      </w:pPr>
      <w:r>
        <w:separator/>
      </w:r>
    </w:p>
  </w:footnote>
  <w:footnote w:type="continuationSeparator" w:id="0">
    <w:p w14:paraId="6231109A" w14:textId="77777777" w:rsidR="00C92C2E" w:rsidRDefault="00C92C2E" w:rsidP="007E389C">
      <w:pPr>
        <w:spacing w:after="0" w:line="240" w:lineRule="auto"/>
      </w:pPr>
      <w:r>
        <w:continuationSeparator/>
      </w:r>
    </w:p>
  </w:footnote>
  <w:footnote w:type="continuationNotice" w:id="1">
    <w:p w14:paraId="0E59B295" w14:textId="77777777" w:rsidR="00C92C2E" w:rsidRDefault="00C92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7580" w14:textId="77777777" w:rsidR="00834072" w:rsidRDefault="00834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59B3" w14:textId="77777777" w:rsidR="00BC2F55" w:rsidRPr="00834072" w:rsidRDefault="007E389C" w:rsidP="00834072">
    <w:pPr>
      <w:pStyle w:val="Title"/>
    </w:pPr>
    <w:r w:rsidRPr="00834072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160F26A1" wp14:editId="63890268">
          <wp:simplePos x="0" y="0"/>
          <wp:positionH relativeFrom="column">
            <wp:posOffset>4014470</wp:posOffset>
          </wp:positionH>
          <wp:positionV relativeFrom="paragraph">
            <wp:posOffset>25400</wp:posOffset>
          </wp:positionV>
          <wp:extent cx="1797050" cy="206375"/>
          <wp:effectExtent l="0" t="0" r="0" b="3175"/>
          <wp:wrapTight wrapText="bothSides">
            <wp:wrapPolygon edited="0">
              <wp:start x="15112" y="0"/>
              <wp:lineTo x="0" y="0"/>
              <wp:lineTo x="0" y="19938"/>
              <wp:lineTo x="7785" y="19938"/>
              <wp:lineTo x="12136" y="19938"/>
              <wp:lineTo x="21295" y="17945"/>
              <wp:lineTo x="21295" y="0"/>
              <wp:lineTo x="17173" y="0"/>
              <wp:lineTo x="15112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0F50802" w:rsidRPr="00834072">
      <w:t>Tender text „Façades”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105B" w14:textId="77777777" w:rsidR="00834072" w:rsidRDefault="00834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8C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7955995">
    <w:abstractNumId w:val="9"/>
  </w:num>
  <w:num w:numId="2" w16cid:durableId="1872574566">
    <w:abstractNumId w:val="9"/>
  </w:num>
  <w:num w:numId="3" w16cid:durableId="1153764585">
    <w:abstractNumId w:val="7"/>
  </w:num>
  <w:num w:numId="4" w16cid:durableId="1515726355">
    <w:abstractNumId w:val="7"/>
  </w:num>
  <w:num w:numId="5" w16cid:durableId="197204884">
    <w:abstractNumId w:val="13"/>
  </w:num>
  <w:num w:numId="6" w16cid:durableId="70547378">
    <w:abstractNumId w:val="11"/>
  </w:num>
  <w:num w:numId="7" w16cid:durableId="178855063">
    <w:abstractNumId w:val="6"/>
  </w:num>
  <w:num w:numId="8" w16cid:durableId="397558635">
    <w:abstractNumId w:val="5"/>
  </w:num>
  <w:num w:numId="9" w16cid:durableId="476261179">
    <w:abstractNumId w:val="4"/>
  </w:num>
  <w:num w:numId="10" w16cid:durableId="2146503423">
    <w:abstractNumId w:val="8"/>
  </w:num>
  <w:num w:numId="11" w16cid:durableId="1219131252">
    <w:abstractNumId w:val="3"/>
  </w:num>
  <w:num w:numId="12" w16cid:durableId="533739814">
    <w:abstractNumId w:val="2"/>
  </w:num>
  <w:num w:numId="13" w16cid:durableId="668869077">
    <w:abstractNumId w:val="1"/>
  </w:num>
  <w:num w:numId="14" w16cid:durableId="2110158866">
    <w:abstractNumId w:val="0"/>
  </w:num>
  <w:num w:numId="15" w16cid:durableId="769467015">
    <w:abstractNumId w:val="12"/>
  </w:num>
  <w:num w:numId="16" w16cid:durableId="710346021">
    <w:abstractNumId w:val="9"/>
  </w:num>
  <w:num w:numId="17" w16cid:durableId="1623993241">
    <w:abstractNumId w:val="11"/>
  </w:num>
  <w:num w:numId="18" w16cid:durableId="1943344460">
    <w:abstractNumId w:val="9"/>
  </w:num>
  <w:num w:numId="19" w16cid:durableId="858350870">
    <w:abstractNumId w:val="9"/>
  </w:num>
  <w:num w:numId="20" w16cid:durableId="1612856743">
    <w:abstractNumId w:val="9"/>
  </w:num>
  <w:num w:numId="21" w16cid:durableId="1023702033">
    <w:abstractNumId w:val="9"/>
  </w:num>
  <w:num w:numId="22" w16cid:durableId="1910381925">
    <w:abstractNumId w:val="10"/>
  </w:num>
  <w:num w:numId="23" w16cid:durableId="1183516830">
    <w:abstractNumId w:val="9"/>
  </w:num>
  <w:num w:numId="24" w16cid:durableId="148374757">
    <w:abstractNumId w:val="11"/>
  </w:num>
  <w:num w:numId="25" w16cid:durableId="444736026">
    <w:abstractNumId w:val="11"/>
  </w:num>
  <w:num w:numId="26" w16cid:durableId="860359489">
    <w:abstractNumId w:val="11"/>
  </w:num>
  <w:num w:numId="27" w16cid:durableId="653144117">
    <w:abstractNumId w:val="11"/>
  </w:num>
  <w:num w:numId="28" w16cid:durableId="1713457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31DE3"/>
    <w:rsid w:val="000D5308"/>
    <w:rsid w:val="0013101B"/>
    <w:rsid w:val="001A5378"/>
    <w:rsid w:val="001C2FC3"/>
    <w:rsid w:val="00206AAF"/>
    <w:rsid w:val="00234569"/>
    <w:rsid w:val="00235DFF"/>
    <w:rsid w:val="002428A9"/>
    <w:rsid w:val="00284F3A"/>
    <w:rsid w:val="002D7921"/>
    <w:rsid w:val="002E226C"/>
    <w:rsid w:val="002F6048"/>
    <w:rsid w:val="0035241B"/>
    <w:rsid w:val="003E2CA1"/>
    <w:rsid w:val="003E4C32"/>
    <w:rsid w:val="004266B2"/>
    <w:rsid w:val="00441070"/>
    <w:rsid w:val="00453A11"/>
    <w:rsid w:val="004559D7"/>
    <w:rsid w:val="0048367C"/>
    <w:rsid w:val="004850FC"/>
    <w:rsid w:val="00487A82"/>
    <w:rsid w:val="004F3C6E"/>
    <w:rsid w:val="00511987"/>
    <w:rsid w:val="00513780"/>
    <w:rsid w:val="00513AE7"/>
    <w:rsid w:val="0051495F"/>
    <w:rsid w:val="005225A1"/>
    <w:rsid w:val="00592C20"/>
    <w:rsid w:val="005A3316"/>
    <w:rsid w:val="005D45F0"/>
    <w:rsid w:val="006031A7"/>
    <w:rsid w:val="0060563C"/>
    <w:rsid w:val="00635CC7"/>
    <w:rsid w:val="0066703E"/>
    <w:rsid w:val="007602B5"/>
    <w:rsid w:val="00785C1C"/>
    <w:rsid w:val="00797C15"/>
    <w:rsid w:val="007E389C"/>
    <w:rsid w:val="007F1A4F"/>
    <w:rsid w:val="00802C51"/>
    <w:rsid w:val="00814E05"/>
    <w:rsid w:val="00834072"/>
    <w:rsid w:val="00865006"/>
    <w:rsid w:val="008672B8"/>
    <w:rsid w:val="00891276"/>
    <w:rsid w:val="008C3D01"/>
    <w:rsid w:val="00920F0B"/>
    <w:rsid w:val="0098075A"/>
    <w:rsid w:val="009A1C1B"/>
    <w:rsid w:val="009B0BB7"/>
    <w:rsid w:val="009E0530"/>
    <w:rsid w:val="009E6639"/>
    <w:rsid w:val="00A11ABA"/>
    <w:rsid w:val="00A37B9F"/>
    <w:rsid w:val="00A67EA1"/>
    <w:rsid w:val="00AE17ED"/>
    <w:rsid w:val="00AF6D72"/>
    <w:rsid w:val="00B16856"/>
    <w:rsid w:val="00B23481"/>
    <w:rsid w:val="00B81A9D"/>
    <w:rsid w:val="00BB6386"/>
    <w:rsid w:val="00BC2F55"/>
    <w:rsid w:val="00BD4531"/>
    <w:rsid w:val="00BF1BE2"/>
    <w:rsid w:val="00C22AEE"/>
    <w:rsid w:val="00C92C2E"/>
    <w:rsid w:val="00CF46E4"/>
    <w:rsid w:val="00D54B28"/>
    <w:rsid w:val="00DC3303"/>
    <w:rsid w:val="00DE6400"/>
    <w:rsid w:val="00DF2AF4"/>
    <w:rsid w:val="00E23FB9"/>
    <w:rsid w:val="00E73EC3"/>
    <w:rsid w:val="00E83C64"/>
    <w:rsid w:val="00EF0A98"/>
    <w:rsid w:val="00F02FAF"/>
    <w:rsid w:val="00F62201"/>
    <w:rsid w:val="00F9268B"/>
    <w:rsid w:val="00FB00D4"/>
    <w:rsid w:val="00FD5AD8"/>
    <w:rsid w:val="235379B9"/>
    <w:rsid w:val="319D79B0"/>
    <w:rsid w:val="50F50802"/>
    <w:rsid w:val="52FE962B"/>
    <w:rsid w:val="6199F5C9"/>
    <w:rsid w:val="639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FDD8"/>
  <w15:chartTrackingRefBased/>
  <w15:docId w15:val="{CED658C4-3C0C-45F3-AE24-5DBF293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en-GB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834072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34072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920F0B"/>
    <w:pPr>
      <w:keepLines/>
      <w:numPr>
        <w:numId w:val="2"/>
      </w:numPr>
      <w:spacing w:line="280" w:lineRule="exact"/>
      <w:ind w:left="357" w:hanging="357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2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2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2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2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ULTIMATE (ULT)</Value>
    </Product_x002f_Topic>
    <Non_x002d_specific_x0028_NON_x0029_ xmlns="b948544a-0b2b-4353-8ff4-4d9434a9ad6b">Tender Spec Facades</Non_x002d_specific_x0028_NON_x0029_>
    <Target xmlns="b948544a-0b2b-4353-8ff4-4d9434a9ad6b">Architect / Specifier (ARC)</Target>
    <Language xmlns="b948544a-0b2b-4353-8ff4-4d9434a9ad6b">EN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7BC8C-788F-4BD2-B150-91675D1FF4C9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customXml/itemProps2.xml><?xml version="1.0" encoding="utf-8"?>
<ds:datastoreItem xmlns:ds="http://schemas.openxmlformats.org/officeDocument/2006/customXml" ds:itemID="{A39F0BAF-5802-47B4-9445-8FA603F5D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519E1-A3BB-490A-9873-8F039EDBC9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2062</Characters>
  <Application>Microsoft Office Word</Application>
  <DocSecurity>0</DocSecurity>
  <Lines>17</Lines>
  <Paragraphs>4</Paragraphs>
  <ScaleCrop>false</ScaleCrop>
  <Company>SAINT-GOBAIN 1.1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10</cp:revision>
  <dcterms:created xsi:type="dcterms:W3CDTF">2023-07-14T19:17:00Z</dcterms:created>
  <dcterms:modified xsi:type="dcterms:W3CDTF">2026-04-24T06:41:00Z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0x01010094E0AF6954538B4CBAE301DA56A52630</vt:lpwstr>
  </property>
  <property fmtid="{D5CDD505-2E9C-101B-9397-08002B2CF9AE}" pid="3" name="Typeofasset">
    <vt:lpwstr>Leaflet (Leaflet)</vt:lpwstr>
  </property>
  <property fmtid="{D5CDD505-2E9C-101B-9397-08002B2CF9AE}" pid="4" name="MediaServiceImageTags">
    <vt:lpwstr/>
  </property>
</Properties>
</file>